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C0EB7">
            <w:pPr>
              <w:jc w:val="both"/>
              <w:rPr>
                <w:rFonts w:ascii="Arial" w:hAnsi="Arial"/>
                <w:b/>
                <w:bCs/>
              </w:rPr>
            </w:pPr>
            <w:r>
              <w:rPr>
                <w:rFonts w:ascii="Arial" w:hAnsi="Arial" w:hint="cs"/>
                <w:b/>
                <w:bCs/>
                <w:rtl/>
              </w:rPr>
              <w:t>לפני</w:t>
            </w:r>
          </w:p>
        </w:tc>
        <w:tc>
          <w:tcPr>
            <w:tcW w:w="8077" w:type="dxa"/>
            <w:gridSpan w:val="2"/>
          </w:tcPr>
          <w:p w:rsidR="00694556" w:rsidRDefault="00005C8B">
            <w:pPr>
              <w:rPr>
                <w:rFonts w:ascii="Arial" w:hAnsi="Arial"/>
                <w:b/>
                <w:bCs/>
                <w:rtl/>
              </w:rPr>
            </w:pPr>
            <w:r>
              <w:rPr>
                <w:rFonts w:ascii="Arial" w:hAnsi="Arial" w:hint="cs"/>
                <w:b/>
                <w:bCs/>
                <w:rtl/>
              </w:rPr>
              <w:t>כב' ה</w:t>
            </w:r>
            <w:sdt>
              <w:sdtPr>
                <w:rPr>
                  <w:rtl/>
                </w:rPr>
                <w:alias w:val="1574"/>
                <w:tag w:val="1574"/>
                <w:id w:val="-73601352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1628250"/>
                <w:text w:multiLine="1"/>
              </w:sdtPr>
              <w:sdtEndPr/>
              <w:sdtContent>
                <w:r>
                  <w:rPr>
                    <w:rFonts w:ascii="Arial" w:hAnsi="Arial"/>
                    <w:b/>
                    <w:bCs/>
                    <w:rtl/>
                  </w:rPr>
                  <w:t>רון סולקין</w:t>
                </w:r>
              </w:sdtContent>
            </w:sdt>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p w:rsidR="00694556" w:rsidRDefault="00AD69E4">
            <w:pPr>
              <w:bidi w:val="0"/>
              <w:jc w:val="right"/>
              <w:rPr>
                <w:rFonts w:ascii="Arial" w:hAnsi="Arial"/>
                <w:b/>
                <w:bCs/>
                <w:noProof w:val="0"/>
                <w:sz w:val="26"/>
                <w:szCs w:val="26"/>
                <w:rtl/>
              </w:rPr>
            </w:pPr>
            <w:r w:rsidRPr="00AD69E4">
              <w:rPr>
                <w:rFonts w:ascii="Arial" w:hAnsi="Arial" w:hint="cs"/>
                <w:b/>
                <w:bCs/>
                <w:noProof w:val="0"/>
                <w:sz w:val="26"/>
                <w:szCs w:val="26"/>
                <w:rtl/>
              </w:rPr>
              <w:t>המאשימה</w:t>
            </w:r>
          </w:p>
        </w:tc>
        <w:tc>
          <w:tcPr>
            <w:tcW w:w="5571" w:type="dxa"/>
          </w:tcPr>
          <w:p w:rsidR="00694556" w:rsidRDefault="00694556">
            <w:pPr>
              <w:rPr>
                <w:rFonts w:ascii="Arial" w:hAnsi="Arial"/>
                <w:b/>
                <w:bCs/>
                <w:noProof w:val="0"/>
                <w:sz w:val="26"/>
                <w:szCs w:val="26"/>
                <w:rtl/>
              </w:rPr>
            </w:pPr>
          </w:p>
          <w:p w:rsidR="00694556" w:rsidRDefault="00467F6C" w:rsidP="000E6F12">
            <w:pPr>
              <w:rPr>
                <w:b/>
                <w:bCs/>
                <w:noProof w:val="0"/>
                <w:sz w:val="26"/>
                <w:szCs w:val="26"/>
              </w:rPr>
            </w:pPr>
            <w:sdt>
              <w:sdtPr>
                <w:rPr>
                  <w:rtl/>
                </w:rPr>
                <w:alias w:val="1478"/>
                <w:tag w:val="1478"/>
                <w:id w:val="665989249"/>
                <w:text w:multiLine="1"/>
              </w:sdtPr>
              <w:sdtEndPr/>
              <w:sdtContent>
                <w:r w:rsidR="008B6CBB">
                  <w:rPr>
                    <w:rFonts w:ascii="Arial" w:hAnsi="Arial"/>
                    <w:b/>
                    <w:bCs/>
                    <w:noProof w:val="0"/>
                    <w:sz w:val="26"/>
                    <w:szCs w:val="26"/>
                    <w:rtl/>
                  </w:rPr>
                  <w:t>מדינת ישראל – פמ"</w:t>
                </w:r>
                <w:r w:rsidR="008B6CBB">
                  <w:rPr>
                    <w:rFonts w:ascii="Arial" w:hAnsi="Arial" w:hint="cs"/>
                    <w:b/>
                    <w:bCs/>
                    <w:noProof w:val="0"/>
                    <w:sz w:val="26"/>
                    <w:szCs w:val="26"/>
                    <w:rtl/>
                  </w:rPr>
                  <w:t>ד</w:t>
                </w:r>
                <w:r w:rsidR="008B6CBB">
                  <w:rPr>
                    <w:rFonts w:ascii="Arial" w:hAnsi="Arial"/>
                    <w:b/>
                    <w:bCs/>
                    <w:noProof w:val="0"/>
                    <w:sz w:val="26"/>
                    <w:szCs w:val="26"/>
                    <w:rtl/>
                  </w:rPr>
                  <w:br/>
                </w:r>
                <w:r w:rsidR="008B6CBB">
                  <w:rPr>
                    <w:rFonts w:hint="cs"/>
                    <w:rtl/>
                  </w:rPr>
                  <w:t xml:space="preserve">ע"י ב"כ </w:t>
                </w:r>
                <w:r w:rsidR="00AE3402">
                  <w:rPr>
                    <w:rFonts w:hint="cs"/>
                    <w:rtl/>
                  </w:rPr>
                  <w:t>עו"ד תהילה גלנטה ו</w:t>
                </w:r>
                <w:r w:rsidR="000E6F12">
                  <w:rPr>
                    <w:rFonts w:hint="cs"/>
                    <w:rtl/>
                  </w:rPr>
                  <w:t>מתמחה ציונה אייצ'ו</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AD69E4">
            <w:pPr>
              <w:rPr>
                <w:rFonts w:ascii="Arial" w:hAnsi="Arial"/>
                <w:b/>
                <w:bCs/>
                <w:noProof w:val="0"/>
                <w:sz w:val="26"/>
                <w:szCs w:val="26"/>
              </w:rPr>
            </w:pPr>
            <w:r>
              <w:rPr>
                <w:rFonts w:ascii="Arial" w:hAnsi="Arial" w:hint="cs"/>
                <w:b/>
                <w:bCs/>
                <w:noProof w:val="0"/>
                <w:sz w:val="26"/>
                <w:szCs w:val="26"/>
                <w:rtl/>
              </w:rPr>
              <w:t>הנאשם</w:t>
            </w:r>
          </w:p>
        </w:tc>
        <w:tc>
          <w:tcPr>
            <w:tcW w:w="5571" w:type="dxa"/>
          </w:tcPr>
          <w:p w:rsidR="00694556" w:rsidRDefault="00694556">
            <w:pPr>
              <w:rPr>
                <w:rFonts w:ascii="Arial" w:hAnsi="Arial"/>
                <w:b/>
                <w:bCs/>
                <w:noProof w:val="0"/>
                <w:sz w:val="26"/>
                <w:szCs w:val="26"/>
                <w:rtl/>
              </w:rPr>
            </w:pPr>
          </w:p>
          <w:p w:rsidR="00694556" w:rsidRDefault="00467F6C" w:rsidP="00F60B6B">
            <w:pPr>
              <w:rPr>
                <w:b/>
                <w:bCs/>
                <w:noProof w:val="0"/>
                <w:sz w:val="26"/>
                <w:szCs w:val="26"/>
                <w:rtl/>
              </w:rPr>
            </w:pPr>
            <w:sdt>
              <w:sdtPr>
                <w:rPr>
                  <w:rtl/>
                </w:rPr>
                <w:alias w:val="1486"/>
                <w:tag w:val="1486"/>
                <w:id w:val="-1228913864"/>
                <w:text w:multiLine="1"/>
              </w:sdtPr>
              <w:sdtEndPr/>
              <w:sdtContent>
                <w:r w:rsidR="00F60B6B">
                  <w:rPr>
                    <w:rFonts w:ascii="Arial" w:hAnsi="Arial" w:hint="cs"/>
                    <w:b/>
                    <w:bCs/>
                    <w:noProof w:val="0"/>
                    <w:sz w:val="26"/>
                    <w:szCs w:val="26"/>
                    <w:rtl/>
                  </w:rPr>
                  <w:t>פלוני</w:t>
                </w:r>
                <w:r w:rsidR="008B6CBB">
                  <w:rPr>
                    <w:rFonts w:ascii="Arial" w:hAnsi="Arial"/>
                    <w:b/>
                    <w:bCs/>
                    <w:noProof w:val="0"/>
                    <w:sz w:val="26"/>
                    <w:szCs w:val="26"/>
                    <w:rtl/>
                  </w:rPr>
                  <w:br/>
                </w:r>
                <w:r w:rsidR="008B6CBB">
                  <w:rPr>
                    <w:rFonts w:hint="cs"/>
                    <w:rtl/>
                  </w:rPr>
                  <w:t xml:space="preserve">ע"י ב"כ עו"ד מאיר סויסה </w:t>
                </w:r>
              </w:sdtContent>
            </w:sdt>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836E92">
            <w:pPr>
              <w:bidi w:val="0"/>
              <w:jc w:val="center"/>
              <w:rPr>
                <w:rFonts w:ascii="Arial" w:hAnsi="Arial"/>
                <w:b/>
                <w:bCs/>
                <w:noProof w:val="0"/>
                <w:sz w:val="28"/>
                <w:szCs w:val="28"/>
                <w:u w:val="single"/>
              </w:rPr>
            </w:pPr>
            <w:r>
              <w:rPr>
                <w:rFonts w:ascii="Arial" w:hAnsi="Arial" w:hint="cs"/>
                <w:b/>
                <w:bCs/>
                <w:noProof w:val="0"/>
                <w:sz w:val="28"/>
                <w:szCs w:val="28"/>
                <w:u w:val="single"/>
                <w:rtl/>
              </w:rPr>
              <w:t>גזר דין</w:t>
            </w:r>
          </w:p>
        </w:tc>
      </w:tr>
    </w:tbl>
    <w:p w:rsidR="00694556" w:rsidRDefault="00694556">
      <w:pPr>
        <w:spacing w:line="360" w:lineRule="auto"/>
        <w:jc w:val="both"/>
        <w:rPr>
          <w:rFonts w:ascii="Arial" w:hAnsi="Arial"/>
          <w:noProof w:val="0"/>
          <w:rtl/>
        </w:rPr>
      </w:pPr>
    </w:p>
    <w:p w:rsidR="008B6CBB" w:rsidRPr="008B6CBB" w:rsidRDefault="008B6CBB" w:rsidP="008B6CBB">
      <w:pPr>
        <w:spacing w:line="360" w:lineRule="auto"/>
        <w:jc w:val="both"/>
        <w:rPr>
          <w:rFonts w:ascii="Arial" w:hAnsi="Arial"/>
          <w:b/>
          <w:bCs/>
          <w:noProof w:val="0"/>
        </w:rPr>
      </w:pPr>
      <w:r w:rsidRPr="008B6CBB">
        <w:rPr>
          <w:rFonts w:ascii="Arial" w:hAnsi="Arial"/>
          <w:b/>
          <w:bCs/>
          <w:noProof w:val="0"/>
          <w:rtl/>
        </w:rPr>
        <w:t>כתב האישום והשתלשלות ההליך</w:t>
      </w:r>
    </w:p>
    <w:p w:rsidR="008B6CBB" w:rsidRPr="008B6CBB" w:rsidRDefault="008B6CBB" w:rsidP="008B6CBB">
      <w:pPr>
        <w:spacing w:line="360" w:lineRule="auto"/>
        <w:jc w:val="both"/>
        <w:rPr>
          <w:rFonts w:ascii="Arial" w:hAnsi="Arial"/>
          <w:noProof w:val="0"/>
          <w:rtl/>
        </w:rPr>
      </w:pPr>
    </w:p>
    <w:p w:rsidR="008B6CBB" w:rsidRPr="008B6CBB" w:rsidRDefault="008B6CBB" w:rsidP="008B6CBB">
      <w:pPr>
        <w:spacing w:line="360" w:lineRule="auto"/>
        <w:jc w:val="both"/>
        <w:rPr>
          <w:noProof w:val="0"/>
          <w:rtl/>
        </w:rPr>
      </w:pPr>
      <w:r w:rsidRPr="008B6CBB">
        <w:rPr>
          <w:rFonts w:ascii="Arial" w:hAnsi="Arial"/>
          <w:noProof w:val="0"/>
          <w:rtl/>
        </w:rPr>
        <w:t xml:space="preserve">הנאשם שלפני </w:t>
      </w:r>
      <w:r>
        <w:rPr>
          <w:rFonts w:ascii="Arial" w:hAnsi="Arial" w:hint="cs"/>
          <w:noProof w:val="0"/>
          <w:rtl/>
        </w:rPr>
        <w:t>נותן את הדין</w:t>
      </w:r>
      <w:r w:rsidRPr="008B6CBB">
        <w:rPr>
          <w:rFonts w:ascii="Arial" w:hAnsi="Arial"/>
          <w:noProof w:val="0"/>
          <w:rtl/>
        </w:rPr>
        <w:t xml:space="preserve"> בגין עבירה של ריבוי נישואין, בניגוד לסעיף 176 </w:t>
      </w:r>
      <w:r w:rsidRPr="008B6CBB">
        <w:rPr>
          <w:noProof w:val="0"/>
          <w:rtl/>
        </w:rPr>
        <w:t xml:space="preserve">לחוק העונשין, תשל"ז – 1977. </w:t>
      </w:r>
    </w:p>
    <w:p w:rsidR="008B6CBB" w:rsidRPr="008B6CBB" w:rsidRDefault="008B6CBB" w:rsidP="008B6CBB">
      <w:pPr>
        <w:spacing w:line="360" w:lineRule="auto"/>
        <w:jc w:val="both"/>
        <w:rPr>
          <w:rFonts w:ascii="Arial" w:hAnsi="Arial"/>
          <w:noProof w:val="0"/>
          <w:rtl/>
        </w:rPr>
      </w:pPr>
    </w:p>
    <w:p w:rsidR="008B6CBB" w:rsidRPr="008B6CBB" w:rsidRDefault="008B6CBB" w:rsidP="000C630D">
      <w:pPr>
        <w:spacing w:line="360" w:lineRule="auto"/>
        <w:jc w:val="both"/>
        <w:rPr>
          <w:rFonts w:ascii="Arial" w:hAnsi="Arial"/>
          <w:noProof w:val="0"/>
          <w:rtl/>
        </w:rPr>
      </w:pPr>
      <w:r w:rsidRPr="008B6CBB">
        <w:rPr>
          <w:rFonts w:ascii="Arial" w:hAnsi="Arial"/>
          <w:noProof w:val="0"/>
          <w:rtl/>
        </w:rPr>
        <w:t xml:space="preserve">בהתאם לעובדות כתב האישום, בהיות הנאשם נשוי, החל מתאריך 03.11.1988, </w:t>
      </w:r>
      <w:r w:rsidR="00F60B6B">
        <w:rPr>
          <w:rFonts w:ascii="Arial" w:hAnsi="Arial" w:hint="cs"/>
          <w:noProof w:val="0"/>
          <w:rtl/>
        </w:rPr>
        <w:t>לנ.ו</w:t>
      </w:r>
      <w:r w:rsidRPr="008B6CBB">
        <w:rPr>
          <w:rFonts w:ascii="Arial" w:hAnsi="Arial"/>
          <w:noProof w:val="0"/>
          <w:rtl/>
        </w:rPr>
        <w:t xml:space="preserve">, ילידת </w:t>
      </w:r>
      <w:r w:rsidR="000C630D">
        <w:rPr>
          <w:rFonts w:ascii="Arial" w:hAnsi="Arial" w:hint="cs"/>
          <w:noProof w:val="0"/>
        </w:rPr>
        <w:t>XXX</w:t>
      </w:r>
      <w:r w:rsidRPr="008B6CBB">
        <w:rPr>
          <w:rFonts w:ascii="Arial" w:hAnsi="Arial"/>
          <w:noProof w:val="0"/>
          <w:rtl/>
        </w:rPr>
        <w:t xml:space="preserve"> (להלן: "האשה הראשונה"), במועד שאינו ידוע במדויק למאשימה, אולם עובר ליום 08.03.17, פנה הנאשם לאשה נוספת, </w:t>
      </w:r>
      <w:r w:rsidR="00F60B6B">
        <w:rPr>
          <w:rFonts w:ascii="Arial" w:hAnsi="Arial" w:hint="cs"/>
          <w:noProof w:val="0"/>
          <w:rtl/>
        </w:rPr>
        <w:t>ח.א.ב</w:t>
      </w:r>
      <w:r w:rsidRPr="008B6CBB">
        <w:rPr>
          <w:rFonts w:ascii="Arial" w:hAnsi="Arial"/>
          <w:noProof w:val="0"/>
          <w:rtl/>
        </w:rPr>
        <w:t xml:space="preserve">, ילידת </w:t>
      </w:r>
      <w:r w:rsidR="000C630D">
        <w:rPr>
          <w:rFonts w:ascii="Arial" w:hAnsi="Arial" w:hint="cs"/>
          <w:noProof w:val="0"/>
        </w:rPr>
        <w:t>XXX</w:t>
      </w:r>
      <w:r w:rsidR="000C630D">
        <w:rPr>
          <w:rFonts w:ascii="Arial" w:hAnsi="Arial" w:hint="cs"/>
          <w:noProof w:val="0"/>
          <w:rtl/>
        </w:rPr>
        <w:t xml:space="preserve"> </w:t>
      </w:r>
      <w:r w:rsidRPr="008B6CBB">
        <w:rPr>
          <w:rFonts w:ascii="Arial" w:hAnsi="Arial"/>
          <w:noProof w:val="0"/>
          <w:rtl/>
        </w:rPr>
        <w:t>(להלן: "האשה השניה") והציע לה להנשא לו. האשה השניה הסכימה להצעתו.</w:t>
      </w:r>
    </w:p>
    <w:p w:rsidR="008B6CBB" w:rsidRPr="008B6CBB" w:rsidRDefault="008B6CBB" w:rsidP="008B6CBB">
      <w:pPr>
        <w:spacing w:line="360" w:lineRule="auto"/>
        <w:jc w:val="both"/>
        <w:rPr>
          <w:rFonts w:ascii="Arial" w:hAnsi="Arial"/>
          <w:noProof w:val="0"/>
          <w:rtl/>
        </w:rPr>
      </w:pPr>
    </w:p>
    <w:p w:rsidR="008B6CBB" w:rsidRPr="008B6CBB" w:rsidRDefault="008B6CBB" w:rsidP="008B6CBB">
      <w:pPr>
        <w:spacing w:line="360" w:lineRule="auto"/>
        <w:jc w:val="both"/>
        <w:rPr>
          <w:rFonts w:ascii="Arial" w:hAnsi="Arial"/>
          <w:noProof w:val="0"/>
          <w:rtl/>
        </w:rPr>
      </w:pPr>
      <w:r w:rsidRPr="008B6CBB">
        <w:rPr>
          <w:rFonts w:ascii="Arial" w:hAnsi="Arial"/>
          <w:noProof w:val="0"/>
          <w:rtl/>
        </w:rPr>
        <w:t>ביום 08.03.17 ערך הנאשם עם האשה השניה חוזה נישואין בהתאם לדין השרעי וזאת על אף שהיה נשוי באותה עת לאשה הראשונה.</w:t>
      </w:r>
    </w:p>
    <w:p w:rsidR="008B6CBB" w:rsidRPr="008B6CBB" w:rsidRDefault="008B6CBB" w:rsidP="008B6CBB">
      <w:pPr>
        <w:spacing w:line="360" w:lineRule="auto"/>
        <w:jc w:val="both"/>
        <w:rPr>
          <w:rFonts w:ascii="Arial" w:hAnsi="Arial"/>
          <w:noProof w:val="0"/>
          <w:rtl/>
        </w:rPr>
      </w:pPr>
    </w:p>
    <w:p w:rsidR="008B6CBB" w:rsidRPr="008B6CBB" w:rsidRDefault="008B6CBB" w:rsidP="008B6CBB">
      <w:pPr>
        <w:spacing w:line="360" w:lineRule="auto"/>
        <w:jc w:val="both"/>
        <w:rPr>
          <w:rFonts w:ascii="Arial" w:hAnsi="Arial"/>
          <w:noProof w:val="0"/>
          <w:rtl/>
        </w:rPr>
      </w:pPr>
      <w:r w:rsidRPr="008B6CBB">
        <w:rPr>
          <w:rFonts w:ascii="Arial" w:hAnsi="Arial"/>
          <w:noProof w:val="0"/>
          <w:rtl/>
        </w:rPr>
        <w:t>ביום 29.03.17, פנה הנאשם לבית הדין השרעי בבאר שבע בבקשה ליתן תוקף לנישואין. ביום 30.03.17 נעתר בית הדין לבקשה ואשרר את הנישואין.</w:t>
      </w:r>
    </w:p>
    <w:p w:rsidR="008B6CBB" w:rsidRPr="008B6CBB" w:rsidRDefault="008B6CBB" w:rsidP="008B6CBB">
      <w:pPr>
        <w:spacing w:line="360" w:lineRule="auto"/>
        <w:jc w:val="both"/>
        <w:rPr>
          <w:rFonts w:ascii="Arial" w:hAnsi="Arial"/>
          <w:noProof w:val="0"/>
          <w:rtl/>
        </w:rPr>
      </w:pPr>
    </w:p>
    <w:p w:rsidR="008B6CBB" w:rsidRPr="008B6CBB" w:rsidRDefault="008B6CBB" w:rsidP="008B6CBB">
      <w:pPr>
        <w:spacing w:line="360" w:lineRule="auto"/>
        <w:jc w:val="both"/>
        <w:rPr>
          <w:rFonts w:ascii="Arial" w:hAnsi="Arial"/>
          <w:noProof w:val="0"/>
          <w:rtl/>
        </w:rPr>
      </w:pPr>
      <w:r w:rsidRPr="008B6CBB">
        <w:rPr>
          <w:rFonts w:ascii="Arial" w:hAnsi="Arial"/>
          <w:noProof w:val="0"/>
          <w:rtl/>
        </w:rPr>
        <w:t>במעשיו המתוארים לעיל, נשא הנאשם את האשה השניה, על אף שהיה נשוי באותה עת לאשה אחרת.</w:t>
      </w:r>
    </w:p>
    <w:p w:rsidR="008B6CBB" w:rsidRPr="008B6CBB" w:rsidRDefault="008B6CBB" w:rsidP="008B6CBB">
      <w:pPr>
        <w:spacing w:line="360" w:lineRule="auto"/>
        <w:jc w:val="both"/>
        <w:rPr>
          <w:rFonts w:ascii="Arial" w:hAnsi="Arial"/>
          <w:noProof w:val="0"/>
          <w:rtl/>
        </w:rPr>
      </w:pPr>
    </w:p>
    <w:p w:rsidR="008B6CBB" w:rsidRPr="008B6CBB" w:rsidRDefault="008B6CBB" w:rsidP="008B6CBB">
      <w:pPr>
        <w:spacing w:line="360" w:lineRule="auto"/>
        <w:jc w:val="both"/>
        <w:rPr>
          <w:rFonts w:ascii="Arial" w:hAnsi="Arial"/>
          <w:noProof w:val="0"/>
          <w:rtl/>
        </w:rPr>
      </w:pPr>
      <w:r w:rsidRPr="008B6CBB">
        <w:rPr>
          <w:rFonts w:ascii="Arial" w:hAnsi="Arial"/>
          <w:noProof w:val="0"/>
          <w:rtl/>
        </w:rPr>
        <w:t>בעניינו של הנאשם התנהלו מספר דיונים מקדמיים, לפני מותב אחר ובחודש 11/18 – הועבר התיק לשמיעה לפני מותב זה והנאשם כפר בעובדות ובעבירה שבכתב האישום.</w:t>
      </w:r>
    </w:p>
    <w:p w:rsidR="00694556" w:rsidRDefault="00694556">
      <w:pPr>
        <w:spacing w:line="360" w:lineRule="auto"/>
        <w:jc w:val="both"/>
        <w:rPr>
          <w:rFonts w:ascii="Arial" w:hAnsi="Arial"/>
          <w:noProof w:val="0"/>
          <w:rtl/>
        </w:rPr>
      </w:pPr>
    </w:p>
    <w:p w:rsidR="008B6CBB" w:rsidRPr="008B6CBB" w:rsidRDefault="008B6CBB" w:rsidP="008B6CBB">
      <w:pPr>
        <w:spacing w:line="360" w:lineRule="auto"/>
        <w:jc w:val="both"/>
        <w:rPr>
          <w:rFonts w:ascii="Arial" w:hAnsi="Arial"/>
          <w:noProof w:val="0"/>
        </w:rPr>
      </w:pPr>
      <w:r w:rsidRPr="008B6CBB">
        <w:rPr>
          <w:rFonts w:ascii="Arial" w:hAnsi="Arial"/>
          <w:noProof w:val="0"/>
          <w:rtl/>
        </w:rPr>
        <w:t xml:space="preserve">התיק נקבע לשמיעת ראיות, אך הדיונים נדחו, הן בשל מספר החלפות ייצוג; הן בשל הארכת פגרת בתי המשפט וקשר עם מגפת </w:t>
      </w:r>
      <w:r w:rsidRPr="008B6CBB">
        <w:rPr>
          <w:rFonts w:ascii="Arial" w:hAnsi="Arial"/>
          <w:noProof w:val="0"/>
        </w:rPr>
        <w:t>COVID-19</w:t>
      </w:r>
      <w:r w:rsidRPr="008B6CBB">
        <w:rPr>
          <w:rFonts w:ascii="Arial" w:hAnsi="Arial"/>
          <w:noProof w:val="0"/>
          <w:rtl/>
        </w:rPr>
        <w:t>; הן בשל נסיבות אישיות/בריאותיות של הסניגור ושל מי מבני משפחתו; הן בשל אשפוז הנאשם; והן לאור מצב החירום בעקבות מתקפת 07.10.23.</w:t>
      </w:r>
    </w:p>
    <w:p w:rsidR="00694556" w:rsidRDefault="00694556">
      <w:pPr>
        <w:spacing w:line="360" w:lineRule="auto"/>
        <w:jc w:val="both"/>
        <w:rPr>
          <w:rFonts w:ascii="Arial" w:hAnsi="Arial"/>
          <w:noProof w:val="0"/>
          <w:rtl/>
        </w:rPr>
      </w:pPr>
    </w:p>
    <w:p w:rsidR="008B6CBB" w:rsidRDefault="008B6CBB" w:rsidP="00D35A3F">
      <w:pPr>
        <w:spacing w:line="360" w:lineRule="auto"/>
        <w:jc w:val="both"/>
        <w:rPr>
          <w:rFonts w:ascii="Arial" w:hAnsi="Arial"/>
          <w:noProof w:val="0"/>
          <w:rtl/>
        </w:rPr>
      </w:pPr>
      <w:r>
        <w:rPr>
          <w:rFonts w:ascii="Arial" w:hAnsi="Arial" w:hint="cs"/>
          <w:noProof w:val="0"/>
          <w:rtl/>
        </w:rPr>
        <w:t xml:space="preserve">בתום שמיעת הראיות ולאחר שהוגשו סיכומי הצדדים, </w:t>
      </w:r>
      <w:r w:rsidR="00D35A3F">
        <w:rPr>
          <w:rFonts w:ascii="Arial" w:hAnsi="Arial" w:hint="cs"/>
          <w:noProof w:val="0"/>
          <w:rtl/>
        </w:rPr>
        <w:t xml:space="preserve">ביום 08.09.24, </w:t>
      </w:r>
      <w:r>
        <w:rPr>
          <w:rFonts w:ascii="Arial" w:hAnsi="Arial" w:hint="cs"/>
          <w:noProof w:val="0"/>
          <w:rtl/>
        </w:rPr>
        <w:t>הרשיע בית המשפט את הנאשם בעבירה המיוחסת לו.</w:t>
      </w:r>
      <w:r w:rsidR="00D35A3F">
        <w:rPr>
          <w:rFonts w:ascii="Arial" w:hAnsi="Arial" w:hint="cs"/>
          <w:noProof w:val="0"/>
          <w:rtl/>
        </w:rPr>
        <w:t xml:space="preserve"> במעמד הדיון, לבקשת ההגנה, נקבעה פרשת העונש למועד אחר, על מנת לאפשר לצדדים להיערך לדיון. </w:t>
      </w:r>
    </w:p>
    <w:p w:rsidR="008B6CBB" w:rsidRDefault="008B6CBB">
      <w:pPr>
        <w:spacing w:line="360" w:lineRule="auto"/>
        <w:jc w:val="both"/>
        <w:rPr>
          <w:rFonts w:ascii="Arial" w:hAnsi="Arial"/>
          <w:noProof w:val="0"/>
          <w:rtl/>
        </w:rPr>
      </w:pPr>
    </w:p>
    <w:p w:rsidR="008B6CBB" w:rsidRDefault="00D35A3F">
      <w:pPr>
        <w:spacing w:line="360" w:lineRule="auto"/>
        <w:jc w:val="both"/>
        <w:rPr>
          <w:rFonts w:ascii="Arial" w:hAnsi="Arial"/>
          <w:noProof w:val="0"/>
          <w:rtl/>
        </w:rPr>
      </w:pPr>
      <w:r>
        <w:rPr>
          <w:rFonts w:ascii="Arial" w:hAnsi="Arial" w:hint="cs"/>
          <w:noProof w:val="0"/>
          <w:rtl/>
        </w:rPr>
        <w:t>אלא, ש</w:t>
      </w:r>
      <w:r w:rsidR="008B6CBB">
        <w:rPr>
          <w:rFonts w:ascii="Arial" w:hAnsi="Arial" w:hint="cs"/>
          <w:noProof w:val="0"/>
          <w:rtl/>
        </w:rPr>
        <w:t>בדיון שנקבע לשמיעת פרשת העונש, לא היתה התייצבות מטעם התביעה</w:t>
      </w:r>
      <w:r w:rsidR="00654C64">
        <w:rPr>
          <w:rFonts w:ascii="Arial" w:hAnsi="Arial" w:hint="cs"/>
          <w:noProof w:val="0"/>
          <w:rtl/>
        </w:rPr>
        <w:t>,</w:t>
      </w:r>
      <w:r>
        <w:rPr>
          <w:rFonts w:ascii="Arial" w:hAnsi="Arial" w:hint="cs"/>
          <w:noProof w:val="0"/>
          <w:rtl/>
        </w:rPr>
        <w:t xml:space="preserve"> לאור אי היערכותה לטיעונים לעונש,</w:t>
      </w:r>
      <w:r w:rsidR="00654C64">
        <w:rPr>
          <w:rFonts w:ascii="Arial" w:hAnsi="Arial" w:hint="cs"/>
          <w:noProof w:val="0"/>
          <w:rtl/>
        </w:rPr>
        <w:t xml:space="preserve"> דבר שהוביל להימשכות נוספת של ההליך.</w:t>
      </w:r>
    </w:p>
    <w:p w:rsidR="00D35A3F" w:rsidRDefault="00D35A3F">
      <w:pPr>
        <w:spacing w:line="360" w:lineRule="auto"/>
        <w:jc w:val="both"/>
        <w:rPr>
          <w:rFonts w:ascii="Arial" w:hAnsi="Arial"/>
          <w:noProof w:val="0"/>
          <w:rtl/>
        </w:rPr>
      </w:pPr>
    </w:p>
    <w:p w:rsidR="00D35A3F" w:rsidRDefault="00D35A3F" w:rsidP="00C916EA">
      <w:pPr>
        <w:spacing w:line="360" w:lineRule="auto"/>
        <w:jc w:val="both"/>
        <w:rPr>
          <w:rFonts w:ascii="Arial" w:hAnsi="Arial"/>
          <w:noProof w:val="0"/>
          <w:rtl/>
        </w:rPr>
      </w:pPr>
      <w:r>
        <w:rPr>
          <w:rFonts w:ascii="Arial" w:hAnsi="Arial" w:hint="cs"/>
          <w:noProof w:val="0"/>
          <w:rtl/>
        </w:rPr>
        <w:t xml:space="preserve">ביום 10.11.24, נשמעה פרשת העונש, </w:t>
      </w:r>
      <w:r w:rsidR="00C916EA">
        <w:rPr>
          <w:rFonts w:ascii="Arial" w:hAnsi="Arial" w:hint="cs"/>
          <w:noProof w:val="0"/>
          <w:rtl/>
        </w:rPr>
        <w:t>והתיק נקבע לשמיעת גזר הדין ליום 17.11.24.</w:t>
      </w:r>
    </w:p>
    <w:p w:rsidR="00A62B1E" w:rsidRDefault="00A62B1E">
      <w:pPr>
        <w:spacing w:line="360" w:lineRule="auto"/>
        <w:jc w:val="both"/>
        <w:rPr>
          <w:rFonts w:ascii="Arial" w:hAnsi="Arial"/>
          <w:noProof w:val="0"/>
          <w:rtl/>
        </w:rPr>
      </w:pPr>
    </w:p>
    <w:p w:rsidR="00A62B1E" w:rsidRDefault="00A62B1E">
      <w:pPr>
        <w:spacing w:line="360" w:lineRule="auto"/>
        <w:jc w:val="both"/>
        <w:rPr>
          <w:rFonts w:ascii="Arial" w:hAnsi="Arial"/>
          <w:noProof w:val="0"/>
          <w:rtl/>
        </w:rPr>
      </w:pPr>
      <w:r w:rsidRPr="00C916EA">
        <w:rPr>
          <w:rFonts w:ascii="Arial" w:hAnsi="Arial" w:hint="cs"/>
          <w:noProof w:val="0"/>
          <w:rtl/>
        </w:rPr>
        <w:t>ביום 14.11.24, בשעות הצהריים, הגישה ההגנה, באמצעות נט המשפט, ראיות נוספות לעונש, זאת מבלי לקבל את עמדת המאשימה או לבקש את אישור בית המשפט.</w:t>
      </w:r>
      <w:r w:rsidR="00C916EA">
        <w:rPr>
          <w:rFonts w:ascii="Arial" w:hAnsi="Arial" w:hint="cs"/>
          <w:noProof w:val="0"/>
          <w:rtl/>
        </w:rPr>
        <w:t xml:space="preserve"> לאחר שבית המשפט ביקש את עמדת התביעה, זו התנגדה, אך לפנים משורת הדין, נעתר בית המשפט לבקשת ההגנה וקיבל את המוצגים שהוגשו.</w:t>
      </w:r>
    </w:p>
    <w:p w:rsidR="00C916EA" w:rsidRDefault="00C916EA">
      <w:pPr>
        <w:spacing w:line="360" w:lineRule="auto"/>
        <w:jc w:val="both"/>
        <w:rPr>
          <w:rFonts w:ascii="Arial" w:hAnsi="Arial"/>
          <w:noProof w:val="0"/>
          <w:rtl/>
        </w:rPr>
      </w:pPr>
    </w:p>
    <w:p w:rsidR="00C916EA" w:rsidRPr="00C916EA" w:rsidRDefault="00C916EA">
      <w:pPr>
        <w:spacing w:line="360" w:lineRule="auto"/>
        <w:jc w:val="both"/>
        <w:rPr>
          <w:rFonts w:ascii="Arial" w:hAnsi="Arial"/>
          <w:noProof w:val="0"/>
          <w:rtl/>
        </w:rPr>
      </w:pPr>
      <w:r>
        <w:rPr>
          <w:rFonts w:ascii="Arial" w:hAnsi="Arial" w:hint="cs"/>
          <w:noProof w:val="0"/>
          <w:rtl/>
        </w:rPr>
        <w:t xml:space="preserve">מכאן </w:t>
      </w:r>
      <w:r>
        <w:rPr>
          <w:rFonts w:ascii="Arial" w:hAnsi="Arial"/>
          <w:noProof w:val="0"/>
          <w:rtl/>
        </w:rPr>
        <w:t>–</w:t>
      </w:r>
      <w:r>
        <w:rPr>
          <w:rFonts w:ascii="Arial" w:hAnsi="Arial" w:hint="cs"/>
          <w:noProof w:val="0"/>
          <w:rtl/>
        </w:rPr>
        <w:t xml:space="preserve"> גזר דין זה.</w:t>
      </w:r>
    </w:p>
    <w:p w:rsidR="00A62B1E" w:rsidRDefault="00A62B1E">
      <w:pPr>
        <w:spacing w:line="360" w:lineRule="auto"/>
        <w:jc w:val="both"/>
        <w:rPr>
          <w:rFonts w:ascii="Arial" w:hAnsi="Arial"/>
          <w:noProof w:val="0"/>
          <w:color w:val="FF0000"/>
          <w:rtl/>
        </w:rPr>
      </w:pPr>
    </w:p>
    <w:p w:rsidR="00D35A3F" w:rsidRDefault="00D35A3F">
      <w:pPr>
        <w:spacing w:line="360" w:lineRule="auto"/>
        <w:jc w:val="both"/>
        <w:rPr>
          <w:rFonts w:ascii="Arial" w:hAnsi="Arial"/>
          <w:noProof w:val="0"/>
          <w:rtl/>
        </w:rPr>
      </w:pPr>
    </w:p>
    <w:p w:rsidR="00D35A3F" w:rsidRDefault="00D35A3F">
      <w:pPr>
        <w:spacing w:line="360" w:lineRule="auto"/>
        <w:jc w:val="both"/>
        <w:rPr>
          <w:rFonts w:ascii="Arial" w:hAnsi="Arial"/>
          <w:noProof w:val="0"/>
          <w:rtl/>
        </w:rPr>
      </w:pPr>
      <w:r>
        <w:rPr>
          <w:rFonts w:ascii="Arial" w:hAnsi="Arial" w:hint="cs"/>
          <w:b/>
          <w:bCs/>
          <w:noProof w:val="0"/>
          <w:rtl/>
        </w:rPr>
        <w:t>ראיות לעונש</w:t>
      </w:r>
    </w:p>
    <w:p w:rsidR="00D35A3F" w:rsidRDefault="00D35A3F">
      <w:pPr>
        <w:spacing w:line="360" w:lineRule="auto"/>
        <w:jc w:val="both"/>
        <w:rPr>
          <w:rFonts w:ascii="Arial" w:hAnsi="Arial"/>
          <w:noProof w:val="0"/>
          <w:rtl/>
        </w:rPr>
      </w:pPr>
    </w:p>
    <w:p w:rsidR="00D35A3F" w:rsidRDefault="00D35A3F">
      <w:pPr>
        <w:spacing w:line="360" w:lineRule="auto"/>
        <w:jc w:val="both"/>
        <w:rPr>
          <w:rFonts w:ascii="Arial" w:hAnsi="Arial"/>
          <w:noProof w:val="0"/>
          <w:rtl/>
        </w:rPr>
      </w:pPr>
      <w:r>
        <w:rPr>
          <w:rFonts w:ascii="Arial" w:hAnsi="Arial" w:hint="cs"/>
          <w:noProof w:val="0"/>
          <w:u w:val="single"/>
          <w:rtl/>
        </w:rPr>
        <w:t>התביעה</w:t>
      </w:r>
      <w:r w:rsidR="00503650">
        <w:rPr>
          <w:rFonts w:ascii="Arial" w:hAnsi="Arial" w:hint="cs"/>
          <w:noProof w:val="0"/>
          <w:rtl/>
        </w:rPr>
        <w:t xml:space="preserve"> הגישה, לענין העונש, גיליון רישום פלילי של הנאשם (ת/10) </w:t>
      </w:r>
      <w:r w:rsidR="00503650">
        <w:rPr>
          <w:rFonts w:ascii="Arial" w:hAnsi="Arial"/>
          <w:noProof w:val="0"/>
          <w:rtl/>
        </w:rPr>
        <w:t>–</w:t>
      </w:r>
      <w:r w:rsidR="00FA40C9">
        <w:rPr>
          <w:rFonts w:ascii="Arial" w:hAnsi="Arial" w:hint="cs"/>
          <w:noProof w:val="0"/>
          <w:rtl/>
        </w:rPr>
        <w:t xml:space="preserve"> לחובת הנאשם</w:t>
      </w:r>
      <w:r w:rsidR="00503650">
        <w:rPr>
          <w:rFonts w:ascii="Arial" w:hAnsi="Arial" w:hint="cs"/>
          <w:noProof w:val="0"/>
          <w:rtl/>
        </w:rPr>
        <w:t xml:space="preserve"> הרשעות בעבירות איומים; הוצאת חשבוניות מס ללא ביצוע עסקה; </w:t>
      </w:r>
      <w:r w:rsidR="00D72D55">
        <w:rPr>
          <w:rFonts w:ascii="Arial" w:hAnsi="Arial" w:hint="cs"/>
          <w:noProof w:val="0"/>
          <w:rtl/>
        </w:rPr>
        <w:t>ניכוי תשומות ללא חשבונית מס; הכנת פנקסי חשבון כוזבים.</w:t>
      </w:r>
    </w:p>
    <w:p w:rsidR="00D35A3F" w:rsidRDefault="00D35A3F">
      <w:pPr>
        <w:spacing w:line="360" w:lineRule="auto"/>
        <w:jc w:val="both"/>
        <w:rPr>
          <w:rFonts w:ascii="Arial" w:hAnsi="Arial"/>
          <w:noProof w:val="0"/>
          <w:rtl/>
        </w:rPr>
      </w:pPr>
    </w:p>
    <w:p w:rsidR="009C59E1" w:rsidRDefault="00D35A3F" w:rsidP="009C59E1">
      <w:pPr>
        <w:spacing w:line="360" w:lineRule="auto"/>
        <w:jc w:val="both"/>
        <w:rPr>
          <w:rFonts w:ascii="Arial" w:hAnsi="Arial"/>
          <w:noProof w:val="0"/>
          <w:rtl/>
        </w:rPr>
      </w:pPr>
      <w:r>
        <w:rPr>
          <w:rFonts w:ascii="Arial" w:hAnsi="Arial" w:hint="cs"/>
          <w:noProof w:val="0"/>
          <w:u w:val="single"/>
          <w:rtl/>
        </w:rPr>
        <w:t>ההגנה</w:t>
      </w:r>
      <w:r>
        <w:rPr>
          <w:rFonts w:ascii="Arial" w:hAnsi="Arial" w:hint="cs"/>
          <w:noProof w:val="0"/>
          <w:rtl/>
        </w:rPr>
        <w:t xml:space="preserve"> </w:t>
      </w:r>
      <w:r w:rsidR="009C59E1">
        <w:rPr>
          <w:rFonts w:ascii="Arial" w:hAnsi="Arial" w:hint="cs"/>
          <w:noProof w:val="0"/>
          <w:rtl/>
        </w:rPr>
        <w:t xml:space="preserve">הגישה, לענין העונש, מכתבי המלצה על הנאשם, אשר ניתנו בין השנים 2015 - 2017 (נ/1 א </w:t>
      </w:r>
      <w:r w:rsidR="009C59E1">
        <w:rPr>
          <w:rFonts w:ascii="Arial" w:hAnsi="Arial"/>
          <w:noProof w:val="0"/>
          <w:rtl/>
        </w:rPr>
        <w:t>–</w:t>
      </w:r>
      <w:r w:rsidR="009C59E1">
        <w:rPr>
          <w:rFonts w:ascii="Arial" w:hAnsi="Arial" w:hint="cs"/>
          <w:noProof w:val="0"/>
          <w:rtl/>
        </w:rPr>
        <w:t xml:space="preserve"> ד) </w:t>
      </w:r>
      <w:r w:rsidR="009C59E1">
        <w:rPr>
          <w:rFonts w:ascii="Arial" w:hAnsi="Arial"/>
          <w:noProof w:val="0"/>
          <w:rtl/>
        </w:rPr>
        <w:t>–</w:t>
      </w:r>
      <w:r w:rsidR="009C59E1">
        <w:rPr>
          <w:rFonts w:ascii="Arial" w:hAnsi="Arial" w:hint="cs"/>
          <w:noProof w:val="0"/>
          <w:rtl/>
        </w:rPr>
        <w:t xml:space="preserve"> במכתבים אלו, תואר הנאשם, ע"י אנשים עמם עבד, כמי שתרם לקידום החברה הבדואית; היווה נדבך חשוב בפרויקטים שונים; טיפח קשרים הדוקים עם כתבים וגורמי תקשורת; </w:t>
      </w:r>
      <w:r w:rsidR="008260E7">
        <w:rPr>
          <w:rFonts w:ascii="Arial" w:hAnsi="Arial" w:hint="cs"/>
          <w:noProof w:val="0"/>
          <w:rtl/>
        </w:rPr>
        <w:t>בעל ידע וניסיון בתחומים ש</w:t>
      </w:r>
      <w:r w:rsidR="00FA40C9">
        <w:rPr>
          <w:rFonts w:ascii="Arial" w:hAnsi="Arial" w:hint="cs"/>
          <w:noProof w:val="0"/>
          <w:rtl/>
        </w:rPr>
        <w:t>ונים; בעל מוסר עבודה ויכולת ראי</w:t>
      </w:r>
      <w:r w:rsidR="008260E7">
        <w:rPr>
          <w:rFonts w:ascii="Arial" w:hAnsi="Arial" w:hint="cs"/>
          <w:noProof w:val="0"/>
          <w:rtl/>
        </w:rPr>
        <w:t>ה ארוכת טווח.</w:t>
      </w:r>
    </w:p>
    <w:p w:rsidR="008260E7" w:rsidRDefault="008260E7" w:rsidP="009C59E1">
      <w:pPr>
        <w:spacing w:line="360" w:lineRule="auto"/>
        <w:jc w:val="both"/>
        <w:rPr>
          <w:rFonts w:ascii="Arial" w:hAnsi="Arial"/>
          <w:noProof w:val="0"/>
          <w:rtl/>
        </w:rPr>
      </w:pPr>
    </w:p>
    <w:p w:rsidR="008260E7" w:rsidRDefault="008260E7" w:rsidP="009C59E1">
      <w:pPr>
        <w:spacing w:line="360" w:lineRule="auto"/>
        <w:jc w:val="both"/>
        <w:rPr>
          <w:rFonts w:ascii="Arial" w:hAnsi="Arial"/>
          <w:noProof w:val="0"/>
          <w:rtl/>
        </w:rPr>
      </w:pPr>
      <w:r>
        <w:rPr>
          <w:rFonts w:ascii="Arial" w:hAnsi="Arial" w:hint="cs"/>
          <w:noProof w:val="0"/>
          <w:rtl/>
        </w:rPr>
        <w:t>בנוסף, העידה ההגנה עדי אופי לטובת הנאשם.</w:t>
      </w:r>
    </w:p>
    <w:p w:rsidR="008260E7" w:rsidRDefault="008260E7" w:rsidP="009C59E1">
      <w:pPr>
        <w:spacing w:line="360" w:lineRule="auto"/>
        <w:jc w:val="both"/>
        <w:rPr>
          <w:rFonts w:ascii="Arial" w:hAnsi="Arial"/>
          <w:noProof w:val="0"/>
          <w:rtl/>
        </w:rPr>
      </w:pPr>
    </w:p>
    <w:p w:rsidR="008260E7" w:rsidRDefault="008260E7" w:rsidP="009C59E1">
      <w:pPr>
        <w:spacing w:line="360" w:lineRule="auto"/>
        <w:jc w:val="both"/>
        <w:rPr>
          <w:rFonts w:ascii="Arial" w:hAnsi="Arial"/>
          <w:noProof w:val="0"/>
          <w:rtl/>
        </w:rPr>
      </w:pPr>
      <w:r>
        <w:rPr>
          <w:rFonts w:ascii="Arial" w:hAnsi="Arial" w:hint="cs"/>
          <w:noProof w:val="0"/>
          <w:u w:val="single"/>
          <w:rtl/>
        </w:rPr>
        <w:t>ע.ה. 2 עבדאללה איברהים עפאוי</w:t>
      </w:r>
      <w:r>
        <w:rPr>
          <w:rFonts w:ascii="Arial" w:hAnsi="Arial" w:hint="cs"/>
          <w:noProof w:val="0"/>
          <w:rtl/>
        </w:rPr>
        <w:t xml:space="preserve"> </w:t>
      </w:r>
      <w:r>
        <w:rPr>
          <w:rFonts w:ascii="Arial" w:hAnsi="Arial"/>
          <w:noProof w:val="0"/>
          <w:rtl/>
        </w:rPr>
        <w:t>–</w:t>
      </w:r>
      <w:r>
        <w:rPr>
          <w:rFonts w:ascii="Arial" w:hAnsi="Arial" w:hint="cs"/>
          <w:noProof w:val="0"/>
          <w:rtl/>
        </w:rPr>
        <w:t xml:space="preserve"> מכר של הנאשם, אשר תיאר אותו כאדם ישר ומכובד, אשר מכבד את הזולת ומהווה מעין בורר בקהילה הבדואית</w:t>
      </w:r>
      <w:r w:rsidR="002B3F0F">
        <w:rPr>
          <w:rFonts w:ascii="Arial" w:hAnsi="Arial" w:hint="cs"/>
          <w:noProof w:val="0"/>
          <w:rtl/>
        </w:rPr>
        <w:t>.</w:t>
      </w:r>
    </w:p>
    <w:p w:rsidR="002B3F0F" w:rsidRDefault="002B3F0F" w:rsidP="009C59E1">
      <w:pPr>
        <w:spacing w:line="360" w:lineRule="auto"/>
        <w:jc w:val="both"/>
        <w:rPr>
          <w:rFonts w:ascii="Arial" w:hAnsi="Arial"/>
          <w:noProof w:val="0"/>
          <w:rtl/>
        </w:rPr>
      </w:pPr>
    </w:p>
    <w:p w:rsidR="002B3F0F" w:rsidRDefault="002B3F0F" w:rsidP="00F60B6B">
      <w:pPr>
        <w:spacing w:line="360" w:lineRule="auto"/>
        <w:jc w:val="both"/>
        <w:rPr>
          <w:rFonts w:ascii="Arial" w:hAnsi="Arial"/>
          <w:noProof w:val="0"/>
          <w:rtl/>
        </w:rPr>
      </w:pPr>
      <w:r>
        <w:rPr>
          <w:rFonts w:ascii="Arial" w:hAnsi="Arial" w:hint="cs"/>
          <w:noProof w:val="0"/>
          <w:u w:val="single"/>
          <w:rtl/>
        </w:rPr>
        <w:t xml:space="preserve">ע.ה. 3 </w:t>
      </w:r>
      <w:r w:rsidR="00F60B6B">
        <w:rPr>
          <w:rFonts w:ascii="Arial" w:hAnsi="Arial" w:hint="cs"/>
          <w:noProof w:val="0"/>
          <w:u w:val="single"/>
          <w:rtl/>
        </w:rPr>
        <w:t>י.א.ה</w:t>
      </w:r>
      <w:r>
        <w:rPr>
          <w:rFonts w:ascii="Arial" w:hAnsi="Arial" w:hint="cs"/>
          <w:noProof w:val="0"/>
          <w:rtl/>
        </w:rPr>
        <w:t xml:space="preserve"> </w:t>
      </w:r>
      <w:r>
        <w:rPr>
          <w:rFonts w:ascii="Arial" w:hAnsi="Arial"/>
          <w:noProof w:val="0"/>
          <w:rtl/>
        </w:rPr>
        <w:t>–</w:t>
      </w:r>
      <w:r>
        <w:rPr>
          <w:rFonts w:ascii="Arial" w:hAnsi="Arial" w:hint="cs"/>
          <w:noProof w:val="0"/>
          <w:rtl/>
        </w:rPr>
        <w:t xml:space="preserve"> בתו הבכורה של הנאשם מנישואיו לאשה הראשונה; עובדת כמורה וסטודנטית למשפטים. לדברי העדה, לפני כשמונה שנים, הודיע הנאשם על כוונתו להינשא לאישה נוספת והוא התארס לה, אך </w:t>
      </w:r>
      <w:r w:rsidR="00FA40C9">
        <w:rPr>
          <w:rFonts w:ascii="Arial" w:hAnsi="Arial" w:hint="cs"/>
          <w:noProof w:val="0"/>
          <w:rtl/>
        </w:rPr>
        <w:t xml:space="preserve">לדבריה - </w:t>
      </w:r>
      <w:r>
        <w:rPr>
          <w:rFonts w:ascii="Arial" w:hAnsi="Arial" w:hint="cs"/>
          <w:noProof w:val="0"/>
          <w:rtl/>
        </w:rPr>
        <w:t>לא התחתן. העדה מסרה, כי הוריה התגרשו ואמה חזרה להתגורר בבית הוריה, אך כעבור שנה, היא חזרה להתגורר בבית בו גרה עם הנאשם וילדיהם טרם הפרידה מהנאשם.</w:t>
      </w:r>
    </w:p>
    <w:p w:rsidR="000C49D0" w:rsidRDefault="002B3F0F" w:rsidP="002B3F0F">
      <w:pPr>
        <w:spacing w:line="360" w:lineRule="auto"/>
        <w:jc w:val="both"/>
        <w:rPr>
          <w:rFonts w:ascii="Arial" w:hAnsi="Arial"/>
          <w:noProof w:val="0"/>
          <w:rtl/>
        </w:rPr>
      </w:pPr>
      <w:r>
        <w:rPr>
          <w:rFonts w:ascii="Arial" w:hAnsi="Arial" w:hint="cs"/>
          <w:noProof w:val="0"/>
          <w:rtl/>
        </w:rPr>
        <w:t>העדה מסרה, כי הנאשם הוא אב מעורב בחיי ילדיו, מימן את לימודיהם, ו</w:t>
      </w:r>
      <w:r w:rsidR="00E1787F">
        <w:rPr>
          <w:rFonts w:ascii="Arial" w:hAnsi="Arial" w:hint="cs"/>
          <w:noProof w:val="0"/>
          <w:rtl/>
        </w:rPr>
        <w:t>תמך בהם</w:t>
      </w:r>
      <w:r w:rsidR="00FA40C9">
        <w:rPr>
          <w:rFonts w:ascii="Arial" w:hAnsi="Arial" w:hint="cs"/>
          <w:noProof w:val="0"/>
          <w:rtl/>
        </w:rPr>
        <w:t>, וכן תמיד דאג לאמה, הא</w:t>
      </w:r>
      <w:r w:rsidR="000C49D0">
        <w:rPr>
          <w:rFonts w:ascii="Arial" w:hAnsi="Arial" w:hint="cs"/>
          <w:noProof w:val="0"/>
          <w:rtl/>
        </w:rPr>
        <w:t>שה הראשונה ולא החסיר מהם דבר.</w:t>
      </w:r>
    </w:p>
    <w:p w:rsidR="000C49D0" w:rsidRDefault="000C49D0" w:rsidP="002B3F0F">
      <w:pPr>
        <w:spacing w:line="360" w:lineRule="auto"/>
        <w:jc w:val="both"/>
        <w:rPr>
          <w:rFonts w:ascii="Arial" w:hAnsi="Arial"/>
          <w:noProof w:val="0"/>
          <w:rtl/>
        </w:rPr>
      </w:pPr>
    </w:p>
    <w:p w:rsidR="002B3F0F" w:rsidRPr="002B3F0F" w:rsidRDefault="000C49D0" w:rsidP="00F60B6B">
      <w:pPr>
        <w:spacing w:line="360" w:lineRule="auto"/>
        <w:jc w:val="both"/>
        <w:rPr>
          <w:rFonts w:ascii="Arial" w:hAnsi="Arial"/>
          <w:noProof w:val="0"/>
          <w:rtl/>
        </w:rPr>
      </w:pPr>
      <w:r>
        <w:rPr>
          <w:rFonts w:ascii="Arial" w:hAnsi="Arial" w:hint="cs"/>
          <w:noProof w:val="0"/>
          <w:u w:val="single"/>
          <w:rtl/>
        </w:rPr>
        <w:t xml:space="preserve">ע.ה.4 </w:t>
      </w:r>
      <w:r w:rsidR="00F60B6B">
        <w:rPr>
          <w:rFonts w:ascii="Arial" w:hAnsi="Arial" w:hint="cs"/>
          <w:noProof w:val="0"/>
          <w:u w:val="single"/>
          <w:rtl/>
        </w:rPr>
        <w:t>א.ו.</w:t>
      </w:r>
      <w:r>
        <w:rPr>
          <w:rFonts w:ascii="Arial" w:hAnsi="Arial" w:hint="cs"/>
          <w:noProof w:val="0"/>
          <w:rtl/>
        </w:rPr>
        <w:t xml:space="preserve"> </w:t>
      </w:r>
      <w:r>
        <w:rPr>
          <w:rFonts w:ascii="Arial" w:hAnsi="Arial"/>
          <w:noProof w:val="0"/>
          <w:rtl/>
        </w:rPr>
        <w:t>–</w:t>
      </w:r>
      <w:r>
        <w:rPr>
          <w:rFonts w:ascii="Arial" w:hAnsi="Arial" w:hint="cs"/>
          <w:noProof w:val="0"/>
          <w:rtl/>
        </w:rPr>
        <w:t xml:space="preserve"> בנו של הנאשם, סטודנט לחשמל במכללה הטכנולוגית בבאר שבע. העד מסר, כי אם אביו </w:t>
      </w:r>
      <w:r w:rsidR="00FA40C9">
        <w:rPr>
          <w:rFonts w:ascii="Arial" w:hAnsi="Arial" w:hint="cs"/>
          <w:noProof w:val="0"/>
          <w:rtl/>
        </w:rPr>
        <w:t>ייאסר</w:t>
      </w:r>
      <w:r>
        <w:rPr>
          <w:rFonts w:ascii="Arial" w:hAnsi="Arial" w:hint="cs"/>
          <w:noProof w:val="0"/>
          <w:rtl/>
        </w:rPr>
        <w:t>, חייהם יתפרקו. העד מסר, כי הנאשם התייחס בכבוד לאמו, האישה הראשונה.</w:t>
      </w:r>
      <w:r w:rsidR="002B3F0F">
        <w:rPr>
          <w:rFonts w:ascii="Arial" w:hAnsi="Arial" w:hint="cs"/>
          <w:noProof w:val="0"/>
          <w:rtl/>
        </w:rPr>
        <w:t xml:space="preserve"> </w:t>
      </w:r>
    </w:p>
    <w:p w:rsidR="00D35A3F" w:rsidRDefault="00D35A3F">
      <w:pPr>
        <w:spacing w:line="360" w:lineRule="auto"/>
        <w:jc w:val="both"/>
        <w:rPr>
          <w:rFonts w:ascii="Arial" w:hAnsi="Arial"/>
          <w:noProof w:val="0"/>
          <w:rtl/>
        </w:rPr>
      </w:pPr>
    </w:p>
    <w:p w:rsidR="00FD7B2F" w:rsidRDefault="00FD7B2F" w:rsidP="00764735">
      <w:pPr>
        <w:spacing w:line="360" w:lineRule="auto"/>
        <w:jc w:val="both"/>
        <w:rPr>
          <w:rFonts w:ascii="Arial" w:hAnsi="Arial"/>
          <w:noProof w:val="0"/>
          <w:rtl/>
        </w:rPr>
      </w:pPr>
      <w:r>
        <w:rPr>
          <w:rFonts w:ascii="Arial" w:hAnsi="Arial" w:hint="cs"/>
          <w:noProof w:val="0"/>
          <w:rtl/>
        </w:rPr>
        <w:t>כאמור לעיל, ביום 14.11.24, הגישה ההגנה מכתבי המלצה נוספים (נ/1ה</w:t>
      </w:r>
      <w:r w:rsidR="00764735">
        <w:rPr>
          <w:rFonts w:ascii="Arial" w:hAnsi="Arial" w:hint="cs"/>
          <w:noProof w:val="0"/>
          <w:rtl/>
        </w:rPr>
        <w:t>). בין המכתבים, ניתן למצוא מכתב</w:t>
      </w:r>
      <w:r w:rsidR="007F746E">
        <w:rPr>
          <w:rFonts w:ascii="Arial" w:hAnsi="Arial" w:hint="cs"/>
          <w:noProof w:val="0"/>
          <w:rtl/>
        </w:rPr>
        <w:t xml:space="preserve"> מטעם חבר הכנסת והשר לשעבר זאב בנימין בגין, בנו של מנחם בגין</w:t>
      </w:r>
      <w:r w:rsidR="00764735">
        <w:rPr>
          <w:rFonts w:ascii="Arial" w:hAnsi="Arial" w:hint="cs"/>
          <w:noProof w:val="0"/>
          <w:rtl/>
        </w:rPr>
        <w:t>, אשר מתאר, כי במסגרת פעילותו לקידום הסדרת התיישבות הבדואים בנגב, נפגש עם הנאשם, לעתים אף ביחידות, ונועץ עמו בסוגיות שונות בהקשר לפעילות זו.</w:t>
      </w:r>
    </w:p>
    <w:p w:rsidR="00764735" w:rsidRDefault="00764735" w:rsidP="00764735">
      <w:pPr>
        <w:spacing w:line="360" w:lineRule="auto"/>
        <w:jc w:val="both"/>
        <w:rPr>
          <w:rFonts w:ascii="Arial" w:hAnsi="Arial"/>
          <w:noProof w:val="0"/>
          <w:rtl/>
        </w:rPr>
      </w:pPr>
    </w:p>
    <w:p w:rsidR="00764735" w:rsidRDefault="00764735" w:rsidP="00764735">
      <w:pPr>
        <w:spacing w:line="360" w:lineRule="auto"/>
        <w:jc w:val="both"/>
        <w:rPr>
          <w:rFonts w:ascii="Arial" w:hAnsi="Arial"/>
          <w:noProof w:val="0"/>
          <w:rtl/>
        </w:rPr>
      </w:pPr>
      <w:r>
        <w:rPr>
          <w:rFonts w:ascii="Arial" w:hAnsi="Arial" w:hint="cs"/>
          <w:noProof w:val="0"/>
          <w:rtl/>
        </w:rPr>
        <w:t>עוד ניתן למצוא, מכתב מטעם גדי מרגלית, אשר שימש מנהל לשכת הפרסום הממשלתית</w:t>
      </w:r>
      <w:r w:rsidR="006254E9">
        <w:rPr>
          <w:rFonts w:ascii="Arial" w:hAnsi="Arial" w:hint="cs"/>
          <w:noProof w:val="0"/>
          <w:rtl/>
        </w:rPr>
        <w:t xml:space="preserve"> ותיאר, כי הנאשם היה שותף בעבודת הלשכה בפרוייקט עם הרשות לפיתוח והתיישבות הבדואים בנגב. הנאשם שימש כאסטרטג אשר הוביל את העבודה עם הרשות.</w:t>
      </w:r>
    </w:p>
    <w:p w:rsidR="006254E9" w:rsidRDefault="006254E9" w:rsidP="00764735">
      <w:pPr>
        <w:spacing w:line="360" w:lineRule="auto"/>
        <w:jc w:val="both"/>
        <w:rPr>
          <w:rFonts w:ascii="Arial" w:hAnsi="Arial"/>
          <w:noProof w:val="0"/>
          <w:rtl/>
        </w:rPr>
      </w:pPr>
    </w:p>
    <w:p w:rsidR="006254E9" w:rsidRDefault="006254E9" w:rsidP="00764735">
      <w:pPr>
        <w:spacing w:line="360" w:lineRule="auto"/>
        <w:jc w:val="both"/>
        <w:rPr>
          <w:rFonts w:ascii="Arial" w:hAnsi="Arial"/>
          <w:noProof w:val="0"/>
          <w:rtl/>
        </w:rPr>
      </w:pPr>
      <w:r>
        <w:rPr>
          <w:rFonts w:ascii="Arial" w:hAnsi="Arial" w:hint="cs"/>
          <w:noProof w:val="0"/>
          <w:rtl/>
        </w:rPr>
        <w:lastRenderedPageBreak/>
        <w:t>כן, הוגש מכתב מטעם זאב מטקין, מתכנן ערים ומנכ"ל משרד תיק פרויקטים, אשר מסר, כי משרדו ערך תכנית כוללת להסדרת ההתיישבות הבדואית בנגב,</w:t>
      </w:r>
      <w:r w:rsidR="00096CF1">
        <w:rPr>
          <w:rFonts w:ascii="Arial" w:hAnsi="Arial" w:hint="cs"/>
          <w:noProof w:val="0"/>
          <w:rtl/>
        </w:rPr>
        <w:t xml:space="preserve"> וכי הנאשם הינו היועץ של התכנית.</w:t>
      </w:r>
    </w:p>
    <w:p w:rsidR="00096CF1" w:rsidRDefault="00096CF1" w:rsidP="00764735">
      <w:pPr>
        <w:spacing w:line="360" w:lineRule="auto"/>
        <w:jc w:val="both"/>
        <w:rPr>
          <w:rFonts w:ascii="Arial" w:hAnsi="Arial"/>
          <w:noProof w:val="0"/>
          <w:rtl/>
        </w:rPr>
      </w:pPr>
    </w:p>
    <w:p w:rsidR="00096CF1" w:rsidRDefault="00096CF1" w:rsidP="00764735">
      <w:pPr>
        <w:spacing w:line="360" w:lineRule="auto"/>
        <w:jc w:val="both"/>
        <w:rPr>
          <w:rFonts w:ascii="Arial" w:hAnsi="Arial"/>
          <w:noProof w:val="0"/>
          <w:rtl/>
        </w:rPr>
      </w:pPr>
      <w:r>
        <w:rPr>
          <w:rFonts w:ascii="Arial" w:hAnsi="Arial" w:hint="cs"/>
          <w:noProof w:val="0"/>
          <w:rtl/>
        </w:rPr>
        <w:t>עוד ניתן למצוא בין המכתבים השונים, מכתב מאת אלוף במיל' דורון אלמוג</w:t>
      </w:r>
      <w:r w:rsidR="00C26F68">
        <w:rPr>
          <w:rFonts w:ascii="Arial" w:hAnsi="Arial" w:hint="cs"/>
          <w:noProof w:val="0"/>
          <w:rtl/>
        </w:rPr>
        <w:t>, אשר שימש כראש המטה לפיתוח כלכלי של המגזר הבדואי במשרד ראש הממשלה, ותיאר את הנאשם כבעל תואר ראשון בכלכלה מאוניברסיטת בן גוריון.</w:t>
      </w:r>
    </w:p>
    <w:p w:rsidR="0012710C" w:rsidRDefault="0012710C" w:rsidP="00764735">
      <w:pPr>
        <w:spacing w:line="360" w:lineRule="auto"/>
        <w:jc w:val="both"/>
        <w:rPr>
          <w:rFonts w:ascii="Arial" w:hAnsi="Arial"/>
          <w:noProof w:val="0"/>
          <w:rtl/>
        </w:rPr>
      </w:pPr>
    </w:p>
    <w:p w:rsidR="0012710C" w:rsidRDefault="0012710C" w:rsidP="00764735">
      <w:pPr>
        <w:spacing w:line="360" w:lineRule="auto"/>
        <w:jc w:val="both"/>
        <w:rPr>
          <w:rFonts w:ascii="Arial" w:hAnsi="Arial"/>
          <w:noProof w:val="0"/>
          <w:rtl/>
        </w:rPr>
      </w:pPr>
    </w:p>
    <w:p w:rsidR="00D35A3F" w:rsidRDefault="00D35A3F">
      <w:pPr>
        <w:spacing w:line="360" w:lineRule="auto"/>
        <w:jc w:val="both"/>
        <w:rPr>
          <w:rFonts w:ascii="Arial" w:hAnsi="Arial"/>
          <w:noProof w:val="0"/>
          <w:rtl/>
        </w:rPr>
      </w:pPr>
    </w:p>
    <w:p w:rsidR="00D35A3F" w:rsidRDefault="00D35A3F">
      <w:pPr>
        <w:spacing w:line="360" w:lineRule="auto"/>
        <w:jc w:val="both"/>
        <w:rPr>
          <w:rFonts w:ascii="Arial" w:hAnsi="Arial"/>
          <w:noProof w:val="0"/>
          <w:rtl/>
        </w:rPr>
      </w:pPr>
      <w:r>
        <w:rPr>
          <w:rFonts w:ascii="Arial" w:hAnsi="Arial" w:hint="cs"/>
          <w:b/>
          <w:bCs/>
          <w:noProof w:val="0"/>
          <w:rtl/>
        </w:rPr>
        <w:t>טענות הצדדים</w:t>
      </w:r>
    </w:p>
    <w:p w:rsidR="00D35A3F" w:rsidRDefault="00D35A3F">
      <w:pPr>
        <w:spacing w:line="360" w:lineRule="auto"/>
        <w:jc w:val="both"/>
        <w:rPr>
          <w:rFonts w:ascii="Arial" w:hAnsi="Arial"/>
          <w:noProof w:val="0"/>
          <w:rtl/>
        </w:rPr>
      </w:pPr>
    </w:p>
    <w:p w:rsidR="00D35A3F" w:rsidRPr="00165759" w:rsidRDefault="00D35A3F" w:rsidP="000E6F12">
      <w:pPr>
        <w:spacing w:line="360" w:lineRule="auto"/>
        <w:jc w:val="both"/>
        <w:rPr>
          <w:rFonts w:ascii="Arial" w:hAnsi="Arial"/>
          <w:noProof w:val="0"/>
          <w:rtl/>
        </w:rPr>
      </w:pPr>
      <w:r w:rsidRPr="00165759">
        <w:rPr>
          <w:rFonts w:ascii="Arial" w:hAnsi="Arial" w:hint="cs"/>
          <w:noProof w:val="0"/>
          <w:u w:val="single"/>
          <w:rtl/>
        </w:rPr>
        <w:t>התביעה</w:t>
      </w:r>
      <w:r w:rsidRPr="00165759">
        <w:rPr>
          <w:rFonts w:ascii="Arial" w:hAnsi="Arial" w:hint="cs"/>
          <w:noProof w:val="0"/>
          <w:rtl/>
        </w:rPr>
        <w:t xml:space="preserve"> הגישה טיעוניה בכתב (ת/</w:t>
      </w:r>
      <w:r w:rsidR="000E6F12" w:rsidRPr="00165759">
        <w:rPr>
          <w:rFonts w:ascii="Arial" w:hAnsi="Arial" w:hint="cs"/>
          <w:noProof w:val="0"/>
          <w:rtl/>
        </w:rPr>
        <w:t>11</w:t>
      </w:r>
      <w:r w:rsidRPr="00165759">
        <w:rPr>
          <w:rFonts w:ascii="Arial" w:hAnsi="Arial" w:hint="cs"/>
          <w:noProof w:val="0"/>
          <w:rtl/>
        </w:rPr>
        <w:t>) והשלימה אותן על פה.</w:t>
      </w:r>
    </w:p>
    <w:p w:rsidR="00D35A3F" w:rsidRPr="00165759" w:rsidRDefault="00D35A3F">
      <w:pPr>
        <w:spacing w:line="360" w:lineRule="auto"/>
        <w:jc w:val="both"/>
        <w:rPr>
          <w:rFonts w:ascii="Arial" w:hAnsi="Arial"/>
          <w:noProof w:val="0"/>
          <w:rtl/>
        </w:rPr>
      </w:pPr>
    </w:p>
    <w:p w:rsidR="000C353B" w:rsidRPr="00165759" w:rsidRDefault="000C353B" w:rsidP="000C353B">
      <w:pPr>
        <w:spacing w:line="360" w:lineRule="auto"/>
        <w:jc w:val="both"/>
        <w:rPr>
          <w:rFonts w:ascii="Arial" w:hAnsi="Arial"/>
        </w:rPr>
      </w:pPr>
      <w:r w:rsidRPr="00165759">
        <w:rPr>
          <w:rFonts w:ascii="Arial" w:hAnsi="Arial"/>
          <w:rtl/>
        </w:rPr>
        <w:t xml:space="preserve">התביעה טענה לפגיעה בכבוד האדם; מעמד האשה; הסדר הציבורי ובריבונות המדינה כמדינה דמוקרטית המקדמת שוויון בין המינים. </w:t>
      </w:r>
    </w:p>
    <w:p w:rsidR="000C353B" w:rsidRPr="00165759" w:rsidRDefault="000C353B" w:rsidP="000C353B">
      <w:pPr>
        <w:spacing w:line="360" w:lineRule="auto"/>
        <w:jc w:val="both"/>
        <w:rPr>
          <w:rFonts w:ascii="Arial" w:hAnsi="Arial"/>
          <w:rtl/>
        </w:rPr>
      </w:pPr>
    </w:p>
    <w:p w:rsidR="000C353B" w:rsidRPr="00165759" w:rsidRDefault="000C353B" w:rsidP="000C353B">
      <w:pPr>
        <w:spacing w:line="360" w:lineRule="auto"/>
        <w:jc w:val="both"/>
        <w:rPr>
          <w:rFonts w:ascii="Arial" w:hAnsi="Arial"/>
          <w:rtl/>
        </w:rPr>
      </w:pPr>
      <w:r w:rsidRPr="00165759">
        <w:rPr>
          <w:rFonts w:ascii="Arial" w:hAnsi="Arial"/>
          <w:rtl/>
        </w:rPr>
        <w:t>התביעה טענה, כי לא בכדי, מצא המחוקק לקבוע חמש שנות מאסר בגין עבירה זו, ענישה המבטאת את הסלידה מחומרת העבירה.</w:t>
      </w:r>
    </w:p>
    <w:p w:rsidR="000C353B" w:rsidRPr="00165759" w:rsidRDefault="000C353B" w:rsidP="000C353B">
      <w:pPr>
        <w:spacing w:line="360" w:lineRule="auto"/>
        <w:jc w:val="both"/>
        <w:rPr>
          <w:rFonts w:ascii="Arial" w:hAnsi="Arial"/>
          <w:rtl/>
        </w:rPr>
      </w:pPr>
    </w:p>
    <w:p w:rsidR="000C353B" w:rsidRPr="00165759" w:rsidRDefault="000C353B" w:rsidP="000C353B">
      <w:pPr>
        <w:spacing w:line="360" w:lineRule="auto"/>
        <w:jc w:val="both"/>
        <w:rPr>
          <w:rFonts w:ascii="Arial" w:hAnsi="Arial"/>
          <w:rtl/>
        </w:rPr>
      </w:pPr>
      <w:r w:rsidRPr="00165759">
        <w:rPr>
          <w:rFonts w:ascii="Arial" w:hAnsi="Arial"/>
          <w:rtl/>
        </w:rPr>
        <w:t>התביעה טענה, כי יש להרתיע היחיד והרבים מפני עבירות אלו.</w:t>
      </w:r>
    </w:p>
    <w:p w:rsidR="000C353B" w:rsidRPr="00165759" w:rsidRDefault="000C353B" w:rsidP="000C353B">
      <w:pPr>
        <w:spacing w:line="360" w:lineRule="auto"/>
        <w:jc w:val="both"/>
        <w:rPr>
          <w:rFonts w:ascii="Arial" w:hAnsi="Arial"/>
          <w:rtl/>
        </w:rPr>
      </w:pPr>
    </w:p>
    <w:p w:rsidR="000C353B" w:rsidRPr="00165759" w:rsidRDefault="000C353B" w:rsidP="000C353B">
      <w:pPr>
        <w:spacing w:line="360" w:lineRule="auto"/>
        <w:jc w:val="both"/>
        <w:rPr>
          <w:rFonts w:ascii="Arial" w:hAnsi="Arial"/>
          <w:rtl/>
        </w:rPr>
      </w:pPr>
      <w:r w:rsidRPr="00165759">
        <w:rPr>
          <w:rFonts w:ascii="Arial" w:hAnsi="Arial"/>
          <w:rtl/>
        </w:rPr>
        <w:t>התביעה טענה, כי למעשי הנאשם קדם תכנון מוקדם, שעה שפנה לאשה השניה, הציע לה להינשא לו, ערך עמה חוזה נישואין ופנה לבית הדין השרעי לאשר את הנישואין.</w:t>
      </w:r>
    </w:p>
    <w:p w:rsidR="000C353B" w:rsidRPr="00165759" w:rsidRDefault="000C353B" w:rsidP="000C353B">
      <w:pPr>
        <w:spacing w:line="360" w:lineRule="auto"/>
        <w:jc w:val="both"/>
        <w:rPr>
          <w:rFonts w:ascii="Arial" w:hAnsi="Arial"/>
          <w:rtl/>
        </w:rPr>
      </w:pPr>
    </w:p>
    <w:p w:rsidR="000C353B" w:rsidRPr="00165759" w:rsidRDefault="000C353B" w:rsidP="000C353B">
      <w:pPr>
        <w:spacing w:line="360" w:lineRule="auto"/>
        <w:jc w:val="both"/>
        <w:rPr>
          <w:rFonts w:ascii="Arial" w:hAnsi="Arial"/>
          <w:rtl/>
        </w:rPr>
      </w:pPr>
    </w:p>
    <w:p w:rsidR="000C353B" w:rsidRDefault="000C353B" w:rsidP="00114F7D">
      <w:pPr>
        <w:spacing w:line="360" w:lineRule="auto"/>
        <w:jc w:val="both"/>
        <w:rPr>
          <w:rFonts w:ascii="Arial" w:hAnsi="Arial"/>
          <w:rtl/>
        </w:rPr>
      </w:pPr>
      <w:r w:rsidRPr="00165759">
        <w:rPr>
          <w:rFonts w:ascii="Arial" w:hAnsi="Arial"/>
          <w:rtl/>
        </w:rPr>
        <w:t>התביעה טענה, כי למעשי הנאשם פוטנציאל נזק כלפי אשתו הראשונה וילדיו, והפנתה לדוח המסכם של הצוות הבין משרדי להתמודדות עם השלכותיה השליליות של הפוליגמיה, יולי 2018.</w:t>
      </w:r>
    </w:p>
    <w:p w:rsidR="00165759" w:rsidRDefault="00165759" w:rsidP="000C353B">
      <w:pPr>
        <w:spacing w:line="360" w:lineRule="auto"/>
        <w:jc w:val="both"/>
        <w:rPr>
          <w:rFonts w:ascii="Arial" w:hAnsi="Arial"/>
          <w:rtl/>
        </w:rPr>
      </w:pPr>
    </w:p>
    <w:p w:rsidR="00165759" w:rsidRPr="00165759" w:rsidRDefault="00114F7D" w:rsidP="000C353B">
      <w:pPr>
        <w:spacing w:line="360" w:lineRule="auto"/>
        <w:jc w:val="both"/>
        <w:rPr>
          <w:rFonts w:ascii="Arial" w:hAnsi="Arial"/>
          <w:rtl/>
        </w:rPr>
      </w:pPr>
      <w:r>
        <w:rPr>
          <w:rFonts w:ascii="Arial" w:hAnsi="Arial" w:hint="cs"/>
          <w:rtl/>
        </w:rPr>
        <w:t>התביעה טענה, כי עבירת ריבוי נישואין הפכה למכת מדינה החותרת תחת יסודות הסדר החברתי התקין וכי על בתי המשפט להילחם בתופעה זו.</w:t>
      </w:r>
    </w:p>
    <w:p w:rsidR="000C353B" w:rsidRPr="00165759" w:rsidRDefault="000C353B" w:rsidP="000C353B">
      <w:pPr>
        <w:spacing w:line="360" w:lineRule="auto"/>
        <w:jc w:val="both"/>
        <w:rPr>
          <w:rFonts w:ascii="Arial" w:hAnsi="Arial"/>
          <w:rtl/>
        </w:rPr>
      </w:pPr>
    </w:p>
    <w:p w:rsidR="000C353B" w:rsidRDefault="000C353B" w:rsidP="000C353B">
      <w:pPr>
        <w:spacing w:line="360" w:lineRule="auto"/>
        <w:jc w:val="both"/>
        <w:rPr>
          <w:rFonts w:ascii="Arial" w:hAnsi="Arial"/>
          <w:rtl/>
        </w:rPr>
      </w:pPr>
      <w:r w:rsidRPr="00165759">
        <w:rPr>
          <w:rFonts w:ascii="Arial" w:hAnsi="Arial"/>
          <w:rtl/>
        </w:rPr>
        <w:t>התביעה עתרה למתחם ענישה הנע בין 8 ועד 18 חודשי מאסר בפועל.</w:t>
      </w:r>
    </w:p>
    <w:p w:rsidR="00114F7D" w:rsidRDefault="00114F7D" w:rsidP="000C353B">
      <w:pPr>
        <w:spacing w:line="360" w:lineRule="auto"/>
        <w:jc w:val="both"/>
        <w:rPr>
          <w:rFonts w:ascii="Arial" w:hAnsi="Arial"/>
          <w:rtl/>
        </w:rPr>
      </w:pPr>
    </w:p>
    <w:p w:rsidR="00114F7D" w:rsidRDefault="00114F7D" w:rsidP="000C353B">
      <w:pPr>
        <w:spacing w:line="360" w:lineRule="auto"/>
        <w:jc w:val="both"/>
        <w:rPr>
          <w:rFonts w:ascii="Arial" w:hAnsi="Arial"/>
          <w:rtl/>
        </w:rPr>
      </w:pPr>
      <w:r w:rsidRPr="00165759">
        <w:rPr>
          <w:rFonts w:ascii="Arial" w:hAnsi="Arial"/>
          <w:rtl/>
        </w:rPr>
        <w:t>התביעה ביקשה לייחס משקל לאי נטילת אחריות מצד הנאשם על מעשיו</w:t>
      </w:r>
      <w:r>
        <w:rPr>
          <w:rFonts w:ascii="Arial" w:hAnsi="Arial" w:hint="cs"/>
          <w:rtl/>
        </w:rPr>
        <w:t xml:space="preserve"> ולכך שלטענתה, טען טענות מיתממות, ביחס לכל אחת מהנשים, בעלות אלמנט של החפצה כלפיהן, ולנקוט כלפיו בענישה מוחשית.</w:t>
      </w:r>
    </w:p>
    <w:p w:rsidR="00114F7D" w:rsidRDefault="00114F7D" w:rsidP="000C353B">
      <w:pPr>
        <w:spacing w:line="360" w:lineRule="auto"/>
        <w:jc w:val="both"/>
        <w:rPr>
          <w:rFonts w:ascii="Arial" w:hAnsi="Arial"/>
          <w:rtl/>
        </w:rPr>
      </w:pPr>
    </w:p>
    <w:p w:rsidR="00114F7D" w:rsidRDefault="00FA40C9" w:rsidP="00FA40C9">
      <w:pPr>
        <w:spacing w:line="360" w:lineRule="auto"/>
        <w:jc w:val="both"/>
        <w:rPr>
          <w:rFonts w:ascii="Arial" w:hAnsi="Arial"/>
          <w:rtl/>
        </w:rPr>
      </w:pPr>
      <w:r>
        <w:rPr>
          <w:rFonts w:ascii="Arial" w:hAnsi="Arial" w:hint="cs"/>
          <w:rtl/>
        </w:rPr>
        <w:t>התביעה טענה</w:t>
      </w:r>
      <w:r w:rsidR="00114F7D">
        <w:rPr>
          <w:rFonts w:ascii="Arial" w:hAnsi="Arial" w:hint="cs"/>
          <w:rtl/>
        </w:rPr>
        <w:t xml:space="preserve"> ביחס לחלוף הזמן, כי זה רובץ לפתחה של ההגנה ומכאן </w:t>
      </w:r>
      <w:r>
        <w:rPr>
          <w:rFonts w:ascii="Arial" w:hAnsi="Arial" w:hint="cs"/>
          <w:rtl/>
        </w:rPr>
        <w:t>שאין</w:t>
      </w:r>
      <w:r w:rsidR="00114F7D">
        <w:rPr>
          <w:rFonts w:ascii="Arial" w:hAnsi="Arial" w:hint="cs"/>
          <w:rtl/>
        </w:rPr>
        <w:t xml:space="preserve"> לייחס לכך משקל כלשהו בעת גזירת הדין.</w:t>
      </w:r>
    </w:p>
    <w:p w:rsidR="00114F7D" w:rsidRDefault="00114F7D" w:rsidP="000C353B">
      <w:pPr>
        <w:spacing w:line="360" w:lineRule="auto"/>
        <w:jc w:val="both"/>
        <w:rPr>
          <w:rFonts w:ascii="Arial" w:hAnsi="Arial"/>
          <w:rtl/>
        </w:rPr>
      </w:pPr>
    </w:p>
    <w:p w:rsidR="00114F7D" w:rsidRDefault="00114F7D" w:rsidP="000C353B">
      <w:pPr>
        <w:spacing w:line="360" w:lineRule="auto"/>
        <w:jc w:val="both"/>
        <w:rPr>
          <w:rFonts w:ascii="Arial" w:hAnsi="Arial"/>
          <w:rtl/>
        </w:rPr>
      </w:pPr>
      <w:r>
        <w:rPr>
          <w:rFonts w:ascii="Arial" w:hAnsi="Arial" w:hint="cs"/>
          <w:rtl/>
        </w:rPr>
        <w:t xml:space="preserve">התביעה טענה, כי יש לדחות כל טענה בדבר הנזק שייתכן </w:t>
      </w:r>
      <w:r w:rsidR="00AE3402">
        <w:rPr>
          <w:rFonts w:ascii="Arial" w:hAnsi="Arial" w:hint="cs"/>
          <w:rtl/>
        </w:rPr>
        <w:t xml:space="preserve">כי </w:t>
      </w:r>
      <w:r>
        <w:rPr>
          <w:rFonts w:ascii="Arial" w:hAnsi="Arial" w:hint="cs"/>
          <w:rtl/>
        </w:rPr>
        <w:t>יגרם למשפחתו של הנאשם.</w:t>
      </w:r>
    </w:p>
    <w:p w:rsidR="00AE3402" w:rsidRDefault="00AE3402" w:rsidP="000C353B">
      <w:pPr>
        <w:spacing w:line="360" w:lineRule="auto"/>
        <w:jc w:val="both"/>
        <w:rPr>
          <w:rFonts w:ascii="Arial" w:hAnsi="Arial"/>
          <w:rtl/>
        </w:rPr>
      </w:pPr>
    </w:p>
    <w:p w:rsidR="00AE3402" w:rsidRDefault="00AE3402" w:rsidP="000C353B">
      <w:pPr>
        <w:spacing w:line="360" w:lineRule="auto"/>
        <w:jc w:val="both"/>
        <w:rPr>
          <w:rFonts w:ascii="Arial" w:hAnsi="Arial"/>
          <w:rtl/>
        </w:rPr>
      </w:pPr>
      <w:r>
        <w:rPr>
          <w:rFonts w:ascii="Arial" w:hAnsi="Arial" w:hint="cs"/>
          <w:rtl/>
        </w:rPr>
        <w:t>התביעה ביקשה לקחת בחשבון את הרשעותיו הקודמות של הנאשם הן בעבירת איומים והן בעבירות מס.</w:t>
      </w:r>
    </w:p>
    <w:p w:rsidR="00AE3402" w:rsidRDefault="00AE3402" w:rsidP="000C353B">
      <w:pPr>
        <w:spacing w:line="360" w:lineRule="auto"/>
        <w:jc w:val="both"/>
        <w:rPr>
          <w:rFonts w:ascii="Arial" w:hAnsi="Arial"/>
          <w:rtl/>
        </w:rPr>
      </w:pPr>
    </w:p>
    <w:p w:rsidR="00AE3402" w:rsidRDefault="00AE3402" w:rsidP="000C353B">
      <w:pPr>
        <w:spacing w:line="360" w:lineRule="auto"/>
        <w:jc w:val="both"/>
        <w:rPr>
          <w:rFonts w:ascii="Arial" w:hAnsi="Arial"/>
          <w:rtl/>
        </w:rPr>
      </w:pPr>
      <w:r>
        <w:rPr>
          <w:rFonts w:ascii="Arial" w:hAnsi="Arial" w:hint="cs"/>
          <w:rtl/>
        </w:rPr>
        <w:t xml:space="preserve">התביעה טענה, כי </w:t>
      </w:r>
      <w:r w:rsidR="0077345A">
        <w:rPr>
          <w:rFonts w:ascii="Arial" w:hAnsi="Arial" w:hint="cs"/>
          <w:rtl/>
        </w:rPr>
        <w:t>יש להעדיף שיקולי הרתעת היחיד והרבים מפני עבירה זו, וכי הן עמדת המחוקק והן עמדת בתי המשפט היא, כי אין מקום לפגיעה שכזו במעמדן של נשים.</w:t>
      </w:r>
    </w:p>
    <w:p w:rsidR="0077345A" w:rsidRDefault="0077345A" w:rsidP="000C353B">
      <w:pPr>
        <w:spacing w:line="360" w:lineRule="auto"/>
        <w:jc w:val="both"/>
        <w:rPr>
          <w:rFonts w:ascii="Arial" w:hAnsi="Arial"/>
          <w:rtl/>
        </w:rPr>
      </w:pPr>
    </w:p>
    <w:p w:rsidR="0077345A" w:rsidRDefault="0077345A" w:rsidP="000C353B">
      <w:pPr>
        <w:spacing w:line="360" w:lineRule="auto"/>
        <w:jc w:val="both"/>
        <w:rPr>
          <w:rFonts w:ascii="Arial" w:hAnsi="Arial"/>
          <w:rtl/>
        </w:rPr>
      </w:pPr>
      <w:r>
        <w:rPr>
          <w:rFonts w:ascii="Arial" w:hAnsi="Arial" w:hint="cs"/>
          <w:rtl/>
        </w:rPr>
        <w:t>התביעה עתרה למקם את עונשו של הנאשם בשליש העליון של מתחם הענישה אליו עתרה, לצד מאסר מותנה; קנס; ועיצומים כספיים נלווים.</w:t>
      </w:r>
    </w:p>
    <w:p w:rsidR="00D35A3F" w:rsidRPr="00165759" w:rsidRDefault="00D35A3F">
      <w:pPr>
        <w:spacing w:line="360" w:lineRule="auto"/>
        <w:jc w:val="both"/>
        <w:rPr>
          <w:rFonts w:ascii="Arial" w:hAnsi="Arial"/>
          <w:noProof w:val="0"/>
          <w:rtl/>
        </w:rPr>
      </w:pPr>
    </w:p>
    <w:p w:rsidR="00A05E87" w:rsidRDefault="00D35A3F" w:rsidP="00A05E87">
      <w:pPr>
        <w:spacing w:line="360" w:lineRule="auto"/>
        <w:jc w:val="both"/>
        <w:rPr>
          <w:rFonts w:ascii="Arial" w:hAnsi="Arial"/>
          <w:noProof w:val="0"/>
          <w:rtl/>
        </w:rPr>
      </w:pPr>
      <w:r>
        <w:rPr>
          <w:rFonts w:ascii="Arial" w:hAnsi="Arial" w:hint="cs"/>
          <w:noProof w:val="0"/>
          <w:u w:val="single"/>
          <w:rtl/>
        </w:rPr>
        <w:t>ההגנה</w:t>
      </w:r>
      <w:r>
        <w:rPr>
          <w:rFonts w:ascii="Arial" w:hAnsi="Arial" w:hint="cs"/>
          <w:noProof w:val="0"/>
          <w:rtl/>
        </w:rPr>
        <w:t xml:space="preserve"> טענה</w:t>
      </w:r>
      <w:r w:rsidR="00A05E87">
        <w:rPr>
          <w:rFonts w:ascii="Arial" w:hAnsi="Arial" w:hint="cs"/>
          <w:noProof w:val="0"/>
          <w:rtl/>
        </w:rPr>
        <w:t>, כי יש לד</w:t>
      </w:r>
      <w:r w:rsidR="00822FD0">
        <w:rPr>
          <w:rFonts w:ascii="Arial" w:hAnsi="Arial" w:hint="cs"/>
          <w:noProof w:val="0"/>
          <w:rtl/>
        </w:rPr>
        <w:t>חות את עתירת התביעה לענין העונש, כיוון שזו אינה הולמת את העבירה.</w:t>
      </w:r>
    </w:p>
    <w:p w:rsidR="00822FD0" w:rsidRDefault="00822FD0" w:rsidP="00A05E87">
      <w:pPr>
        <w:spacing w:line="360" w:lineRule="auto"/>
        <w:jc w:val="both"/>
        <w:rPr>
          <w:rFonts w:ascii="Arial" w:hAnsi="Arial"/>
          <w:noProof w:val="0"/>
          <w:rtl/>
        </w:rPr>
      </w:pPr>
    </w:p>
    <w:p w:rsidR="00822FD0" w:rsidRDefault="00822FD0" w:rsidP="00A05E87">
      <w:pPr>
        <w:spacing w:line="360" w:lineRule="auto"/>
        <w:jc w:val="both"/>
        <w:rPr>
          <w:rFonts w:ascii="Arial" w:hAnsi="Arial"/>
          <w:noProof w:val="0"/>
          <w:rtl/>
        </w:rPr>
      </w:pPr>
      <w:r>
        <w:rPr>
          <w:rFonts w:ascii="Arial" w:hAnsi="Arial" w:hint="cs"/>
          <w:noProof w:val="0"/>
          <w:rtl/>
        </w:rPr>
        <w:t>ההגנה טענה, כי אין לזקוף לחובת הנאשם את בחירתו לנהל הליך הוכחות, שהרי זכותו לעמוד על חפותו.</w:t>
      </w:r>
    </w:p>
    <w:p w:rsidR="002E0A2E" w:rsidRDefault="002E0A2E" w:rsidP="00A05E87">
      <w:pPr>
        <w:spacing w:line="360" w:lineRule="auto"/>
        <w:jc w:val="both"/>
        <w:rPr>
          <w:rFonts w:ascii="Arial" w:hAnsi="Arial"/>
          <w:noProof w:val="0"/>
          <w:rtl/>
        </w:rPr>
      </w:pPr>
    </w:p>
    <w:p w:rsidR="002E0A2E" w:rsidRDefault="002E0A2E" w:rsidP="002E0A2E">
      <w:pPr>
        <w:spacing w:line="360" w:lineRule="auto"/>
        <w:jc w:val="both"/>
        <w:rPr>
          <w:rFonts w:ascii="Arial" w:hAnsi="Arial"/>
          <w:noProof w:val="0"/>
          <w:rtl/>
        </w:rPr>
      </w:pPr>
      <w:r>
        <w:rPr>
          <w:rFonts w:ascii="Arial" w:hAnsi="Arial" w:hint="cs"/>
          <w:noProof w:val="0"/>
          <w:rtl/>
        </w:rPr>
        <w:t>ההגנה טענה, כי העבירה נעברה בשנת 2017, סמוך למועד כניסתה לתוקף של ההנחיה, וכי חלפו שש שנים מאז שנעברה.</w:t>
      </w:r>
    </w:p>
    <w:p w:rsidR="002E0A2E" w:rsidRDefault="002E0A2E" w:rsidP="00A05E87">
      <w:pPr>
        <w:spacing w:line="360" w:lineRule="auto"/>
        <w:jc w:val="both"/>
        <w:rPr>
          <w:rFonts w:ascii="Arial" w:hAnsi="Arial"/>
          <w:noProof w:val="0"/>
          <w:rtl/>
        </w:rPr>
      </w:pPr>
    </w:p>
    <w:p w:rsidR="002E0A2E" w:rsidRDefault="002E0A2E" w:rsidP="00A05E87">
      <w:pPr>
        <w:spacing w:line="360" w:lineRule="auto"/>
        <w:jc w:val="both"/>
        <w:rPr>
          <w:rFonts w:ascii="Arial" w:hAnsi="Arial"/>
          <w:noProof w:val="0"/>
          <w:rtl/>
        </w:rPr>
      </w:pPr>
      <w:r>
        <w:rPr>
          <w:rFonts w:ascii="Arial" w:hAnsi="Arial" w:hint="cs"/>
          <w:noProof w:val="0"/>
          <w:rtl/>
        </w:rPr>
        <w:lastRenderedPageBreak/>
        <w:t>ההגנה ביקשה לקחת בחשבון, כי הנישואין אושרו ע"י בית הדין השרעי וכי גם היום, לפי הדין השרעי, מותר לשאת יותר מאישה אחת.</w:t>
      </w:r>
    </w:p>
    <w:p w:rsidR="002E0A2E" w:rsidRDefault="002E0A2E" w:rsidP="00A05E87">
      <w:pPr>
        <w:spacing w:line="360" w:lineRule="auto"/>
        <w:jc w:val="both"/>
        <w:rPr>
          <w:rFonts w:ascii="Arial" w:hAnsi="Arial"/>
          <w:noProof w:val="0"/>
          <w:rtl/>
        </w:rPr>
      </w:pPr>
    </w:p>
    <w:p w:rsidR="002E0A2E" w:rsidRDefault="002E0A2E" w:rsidP="002E0A2E">
      <w:pPr>
        <w:spacing w:line="360" w:lineRule="auto"/>
        <w:jc w:val="both"/>
        <w:rPr>
          <w:rFonts w:ascii="Arial" w:hAnsi="Arial"/>
          <w:noProof w:val="0"/>
          <w:rtl/>
        </w:rPr>
      </w:pPr>
      <w:r>
        <w:rPr>
          <w:rFonts w:ascii="Arial" w:hAnsi="Arial" w:hint="cs"/>
          <w:noProof w:val="0"/>
          <w:rtl/>
        </w:rPr>
        <w:t>ההגנה הפנתה לפסיקה מטעמה, במקרים בהם ניתנו עבודות שירות, ועל כך יורחב בהמשך.</w:t>
      </w:r>
    </w:p>
    <w:p w:rsidR="002E0A2E" w:rsidRDefault="002E0A2E" w:rsidP="00A05E87">
      <w:pPr>
        <w:spacing w:line="360" w:lineRule="auto"/>
        <w:jc w:val="both"/>
        <w:rPr>
          <w:rFonts w:ascii="Arial" w:hAnsi="Arial"/>
          <w:noProof w:val="0"/>
          <w:rtl/>
        </w:rPr>
      </w:pPr>
    </w:p>
    <w:p w:rsidR="00822FD0" w:rsidRDefault="00755F4F" w:rsidP="00FA40C9">
      <w:pPr>
        <w:spacing w:line="360" w:lineRule="auto"/>
        <w:jc w:val="both"/>
        <w:rPr>
          <w:rFonts w:ascii="Arial" w:hAnsi="Arial"/>
          <w:noProof w:val="0"/>
          <w:rtl/>
        </w:rPr>
      </w:pPr>
      <w:r>
        <w:rPr>
          <w:rFonts w:ascii="Arial" w:hAnsi="Arial" w:hint="cs"/>
          <w:noProof w:val="0"/>
          <w:rtl/>
        </w:rPr>
        <w:t xml:space="preserve">הגנה טענה, כי </w:t>
      </w:r>
      <w:r w:rsidR="002E0A2E">
        <w:rPr>
          <w:rFonts w:ascii="Arial" w:hAnsi="Arial" w:hint="cs"/>
          <w:noProof w:val="0"/>
          <w:rtl/>
        </w:rPr>
        <w:t>מדובר באדם נורמטיבי; אב לחמישה ילדים; יועץ במשרד ראש</w:t>
      </w:r>
      <w:r w:rsidR="00FA40C9">
        <w:rPr>
          <w:rFonts w:ascii="Arial" w:hAnsi="Arial" w:hint="cs"/>
          <w:noProof w:val="0"/>
          <w:rtl/>
        </w:rPr>
        <w:t xml:space="preserve"> הממשלה לעני</w:t>
      </w:r>
      <w:r w:rsidR="002E0A2E">
        <w:rPr>
          <w:rFonts w:ascii="Arial" w:hAnsi="Arial" w:hint="cs"/>
          <w:noProof w:val="0"/>
          <w:rtl/>
        </w:rPr>
        <w:t xml:space="preserve">ני </w:t>
      </w:r>
      <w:r w:rsidR="00FA40C9">
        <w:rPr>
          <w:rFonts w:ascii="Arial" w:hAnsi="Arial" w:hint="cs"/>
          <w:noProof w:val="0"/>
          <w:rtl/>
        </w:rPr>
        <w:t>החברה הבדואית</w:t>
      </w:r>
      <w:r w:rsidR="002E0A2E">
        <w:rPr>
          <w:rFonts w:ascii="Arial" w:hAnsi="Arial" w:hint="cs"/>
          <w:noProof w:val="0"/>
          <w:rtl/>
        </w:rPr>
        <w:t xml:space="preserve">; שירת שירות צבאי </w:t>
      </w:r>
      <w:r w:rsidR="00FA40C9">
        <w:rPr>
          <w:rFonts w:ascii="Arial" w:hAnsi="Arial" w:hint="cs"/>
          <w:noProof w:val="0"/>
          <w:rtl/>
        </w:rPr>
        <w:t>מקו</w:t>
      </w:r>
      <w:r w:rsidR="002E0A2E">
        <w:rPr>
          <w:rFonts w:ascii="Arial" w:hAnsi="Arial" w:hint="cs"/>
          <w:noProof w:val="0"/>
          <w:rtl/>
        </w:rPr>
        <w:t>צר.</w:t>
      </w:r>
    </w:p>
    <w:p w:rsidR="002E0A2E" w:rsidRDefault="002E0A2E" w:rsidP="00A05E87">
      <w:pPr>
        <w:spacing w:line="360" w:lineRule="auto"/>
        <w:jc w:val="both"/>
        <w:rPr>
          <w:rFonts w:ascii="Arial" w:hAnsi="Arial"/>
          <w:noProof w:val="0"/>
          <w:rtl/>
        </w:rPr>
      </w:pPr>
    </w:p>
    <w:p w:rsidR="002E0A2E" w:rsidRDefault="002E0A2E" w:rsidP="002E0A2E">
      <w:pPr>
        <w:spacing w:line="360" w:lineRule="auto"/>
        <w:jc w:val="both"/>
        <w:rPr>
          <w:rFonts w:ascii="Arial" w:hAnsi="Arial"/>
          <w:noProof w:val="0"/>
          <w:rtl/>
        </w:rPr>
      </w:pPr>
      <w:r>
        <w:rPr>
          <w:rFonts w:ascii="Arial" w:hAnsi="Arial" w:hint="cs"/>
          <w:noProof w:val="0"/>
          <w:rtl/>
        </w:rPr>
        <w:t>ההגנה טענה, כי כלל לא נפגע כבודה של האישה הראשונה, כיוון שהיא המשיכה להתגורר במתחם המגורים של הנאשם והוא דאג לה לכלכלה ומזון; והוא כיבד אותה "כיבוד יתר" כלשון ההגנה.</w:t>
      </w:r>
    </w:p>
    <w:p w:rsidR="002E0A2E" w:rsidRDefault="002E0A2E" w:rsidP="002E0A2E">
      <w:pPr>
        <w:spacing w:line="360" w:lineRule="auto"/>
        <w:jc w:val="both"/>
        <w:rPr>
          <w:rFonts w:ascii="Arial" w:hAnsi="Arial"/>
          <w:noProof w:val="0"/>
          <w:rtl/>
        </w:rPr>
      </w:pPr>
    </w:p>
    <w:p w:rsidR="002E0A2E" w:rsidRDefault="002E0A2E" w:rsidP="002E0A2E">
      <w:pPr>
        <w:spacing w:line="360" w:lineRule="auto"/>
        <w:jc w:val="both"/>
        <w:rPr>
          <w:rFonts w:ascii="Arial" w:hAnsi="Arial"/>
          <w:noProof w:val="0"/>
          <w:rtl/>
        </w:rPr>
      </w:pPr>
      <w:r>
        <w:rPr>
          <w:rFonts w:ascii="Arial" w:hAnsi="Arial" w:hint="cs"/>
          <w:noProof w:val="0"/>
          <w:rtl/>
        </w:rPr>
        <w:t>ההגנה טענה, כי הערכים המוגנים להם טענה התביעה הם מוגנים "באופן כללי", אך במקרה דנן, לא היתה כל פגיעה בהם ולכן על בית המשפט לדחות טענה זו.</w:t>
      </w:r>
    </w:p>
    <w:p w:rsidR="002E0A2E" w:rsidRDefault="002E0A2E" w:rsidP="002E0A2E">
      <w:pPr>
        <w:spacing w:line="360" w:lineRule="auto"/>
        <w:jc w:val="both"/>
        <w:rPr>
          <w:rFonts w:ascii="Arial" w:hAnsi="Arial"/>
          <w:noProof w:val="0"/>
          <w:rtl/>
        </w:rPr>
      </w:pPr>
    </w:p>
    <w:p w:rsidR="002E0A2E" w:rsidRDefault="002E0A2E" w:rsidP="002E0A2E">
      <w:pPr>
        <w:spacing w:line="360" w:lineRule="auto"/>
        <w:jc w:val="both"/>
        <w:rPr>
          <w:rFonts w:ascii="Arial" w:hAnsi="Arial"/>
          <w:noProof w:val="0"/>
          <w:rtl/>
        </w:rPr>
      </w:pPr>
      <w:r>
        <w:rPr>
          <w:rFonts w:ascii="Arial" w:hAnsi="Arial" w:hint="cs"/>
          <w:noProof w:val="0"/>
          <w:rtl/>
        </w:rPr>
        <w:t>ההגנה טענה, כי משפחתו של הנאשם תלויה בו ואם ייכנס למאסר, זה יביא להתמוטטות המשפחה.</w:t>
      </w:r>
    </w:p>
    <w:p w:rsidR="002E0A2E" w:rsidRDefault="002E0A2E" w:rsidP="002E0A2E">
      <w:pPr>
        <w:spacing w:line="360" w:lineRule="auto"/>
        <w:jc w:val="both"/>
        <w:rPr>
          <w:rFonts w:ascii="Arial" w:hAnsi="Arial"/>
          <w:noProof w:val="0"/>
          <w:rtl/>
        </w:rPr>
      </w:pPr>
    </w:p>
    <w:p w:rsidR="002E0A2E" w:rsidRDefault="002E0A2E" w:rsidP="002E0A2E">
      <w:pPr>
        <w:spacing w:line="360" w:lineRule="auto"/>
        <w:jc w:val="both"/>
        <w:rPr>
          <w:rFonts w:ascii="Arial" w:hAnsi="Arial"/>
          <w:noProof w:val="0"/>
          <w:rtl/>
        </w:rPr>
      </w:pPr>
      <w:r>
        <w:rPr>
          <w:rFonts w:ascii="Arial" w:hAnsi="Arial" w:hint="cs"/>
          <w:noProof w:val="0"/>
          <w:rtl/>
        </w:rPr>
        <w:t xml:space="preserve">ההגנה טענה, כי ניתן להסתפק בעבודות שירות. </w:t>
      </w:r>
    </w:p>
    <w:p w:rsidR="00822FD0" w:rsidRDefault="00822FD0" w:rsidP="00A05E87">
      <w:pPr>
        <w:spacing w:line="360" w:lineRule="auto"/>
        <w:jc w:val="both"/>
        <w:rPr>
          <w:rFonts w:ascii="Arial" w:hAnsi="Arial"/>
          <w:noProof w:val="0"/>
          <w:rtl/>
        </w:rPr>
      </w:pPr>
    </w:p>
    <w:p w:rsidR="000C353B" w:rsidRDefault="000C353B" w:rsidP="00D35A3F">
      <w:pPr>
        <w:spacing w:line="360" w:lineRule="auto"/>
        <w:jc w:val="both"/>
        <w:rPr>
          <w:rFonts w:ascii="Arial" w:hAnsi="Arial"/>
          <w:noProof w:val="0"/>
          <w:rtl/>
        </w:rPr>
      </w:pPr>
    </w:p>
    <w:p w:rsidR="000C353B" w:rsidRDefault="000C353B" w:rsidP="002E0A2E">
      <w:pPr>
        <w:spacing w:line="360" w:lineRule="auto"/>
        <w:jc w:val="both"/>
        <w:rPr>
          <w:rFonts w:ascii="Arial" w:hAnsi="Arial"/>
          <w:noProof w:val="0"/>
          <w:rtl/>
        </w:rPr>
      </w:pPr>
      <w:r>
        <w:rPr>
          <w:rFonts w:ascii="Arial" w:hAnsi="Arial" w:hint="cs"/>
          <w:noProof w:val="0"/>
          <w:u w:val="single"/>
          <w:rtl/>
        </w:rPr>
        <w:t>בדברו האחרון של הנאשם</w:t>
      </w:r>
      <w:r>
        <w:rPr>
          <w:rFonts w:ascii="Arial" w:hAnsi="Arial" w:hint="cs"/>
          <w:noProof w:val="0"/>
          <w:rtl/>
        </w:rPr>
        <w:t xml:space="preserve"> מסר, כי </w:t>
      </w:r>
      <w:r w:rsidR="002E0A2E">
        <w:rPr>
          <w:rFonts w:ascii="Arial" w:hAnsi="Arial" w:hint="cs"/>
          <w:noProof w:val="0"/>
          <w:rtl/>
        </w:rPr>
        <w:t>יש לשפוט משפט צדק; טען שהחברה הערבית מופלה לרעה בהליכים משפטיים; שהוא חש מופלה לרעה מכך שהמדינה ניהלה נגדו הליך, וכי הוא אמנם נרשם כנשוי לאישה השניה, אך לא היה נשוי בפועל.</w:t>
      </w:r>
    </w:p>
    <w:p w:rsidR="002E0A2E" w:rsidRDefault="002E0A2E" w:rsidP="002E0A2E">
      <w:pPr>
        <w:spacing w:line="360" w:lineRule="auto"/>
        <w:jc w:val="both"/>
        <w:rPr>
          <w:rFonts w:ascii="Arial" w:hAnsi="Arial"/>
          <w:noProof w:val="0"/>
          <w:rtl/>
        </w:rPr>
      </w:pPr>
    </w:p>
    <w:p w:rsidR="002E0A2E" w:rsidRDefault="002E0A2E" w:rsidP="00FA40C9">
      <w:pPr>
        <w:spacing w:line="360" w:lineRule="auto"/>
        <w:jc w:val="both"/>
        <w:rPr>
          <w:rFonts w:ascii="Arial" w:hAnsi="Arial"/>
          <w:noProof w:val="0"/>
          <w:rtl/>
        </w:rPr>
      </w:pPr>
      <w:r>
        <w:rPr>
          <w:rFonts w:ascii="Arial" w:hAnsi="Arial" w:hint="cs"/>
          <w:noProof w:val="0"/>
          <w:rtl/>
        </w:rPr>
        <w:t xml:space="preserve">עוד מסר, כי אשתו הראשונה לא דרשה קצבאות מביטוח לאומי פרט לקצבאות ילדים והוא המשיך לדאוג </w:t>
      </w:r>
      <w:r w:rsidR="00FA40C9">
        <w:rPr>
          <w:rFonts w:ascii="Arial" w:hAnsi="Arial" w:hint="cs"/>
          <w:noProof w:val="0"/>
          <w:rtl/>
        </w:rPr>
        <w:t>לפרנסתה</w:t>
      </w:r>
      <w:r>
        <w:rPr>
          <w:rFonts w:ascii="Arial" w:hAnsi="Arial" w:hint="cs"/>
          <w:noProof w:val="0"/>
          <w:rtl/>
        </w:rPr>
        <w:t>.</w:t>
      </w:r>
    </w:p>
    <w:p w:rsidR="002E0A2E" w:rsidRDefault="002E0A2E" w:rsidP="002E0A2E">
      <w:pPr>
        <w:spacing w:line="360" w:lineRule="auto"/>
        <w:jc w:val="both"/>
        <w:rPr>
          <w:rFonts w:ascii="Arial" w:hAnsi="Arial"/>
          <w:noProof w:val="0"/>
          <w:rtl/>
        </w:rPr>
      </w:pPr>
    </w:p>
    <w:p w:rsidR="002E0A2E" w:rsidRDefault="00FA40C9" w:rsidP="002E0A2E">
      <w:pPr>
        <w:spacing w:line="360" w:lineRule="auto"/>
        <w:jc w:val="both"/>
        <w:rPr>
          <w:rFonts w:ascii="Arial" w:hAnsi="Arial"/>
          <w:noProof w:val="0"/>
          <w:rtl/>
        </w:rPr>
      </w:pPr>
      <w:r>
        <w:rPr>
          <w:rFonts w:ascii="Arial" w:hAnsi="Arial" w:hint="cs"/>
          <w:noProof w:val="0"/>
          <w:rtl/>
        </w:rPr>
        <w:t>הנאשם מסר, כי עני</w:t>
      </w:r>
      <w:r w:rsidR="002E0A2E">
        <w:rPr>
          <w:rFonts w:ascii="Arial" w:hAnsi="Arial" w:hint="cs"/>
          <w:noProof w:val="0"/>
          <w:rtl/>
        </w:rPr>
        <w:t>נו שונה מנאשמים אחרים וכי הוא מצפה מבית המשפט להבין זאת ולתת לו עונש הולם שהוא יוכל לקבל למרות שהוא לעולם לא ירגיש אשם על מעשיו.</w:t>
      </w:r>
    </w:p>
    <w:p w:rsidR="002E0A2E" w:rsidRDefault="002E0A2E" w:rsidP="002E0A2E">
      <w:pPr>
        <w:spacing w:line="360" w:lineRule="auto"/>
        <w:jc w:val="both"/>
        <w:rPr>
          <w:rFonts w:ascii="Arial" w:hAnsi="Arial"/>
          <w:noProof w:val="0"/>
          <w:rtl/>
        </w:rPr>
      </w:pPr>
    </w:p>
    <w:p w:rsidR="002E0A2E" w:rsidRDefault="002E0A2E" w:rsidP="00FA40C9">
      <w:pPr>
        <w:spacing w:line="360" w:lineRule="auto"/>
        <w:jc w:val="both"/>
        <w:rPr>
          <w:rFonts w:ascii="Arial" w:hAnsi="Arial"/>
          <w:noProof w:val="0"/>
          <w:rtl/>
        </w:rPr>
      </w:pPr>
      <w:r>
        <w:rPr>
          <w:rFonts w:ascii="Arial" w:hAnsi="Arial" w:hint="cs"/>
          <w:noProof w:val="0"/>
          <w:rtl/>
        </w:rPr>
        <w:lastRenderedPageBreak/>
        <w:t>הנאשם מסר, כי הוא תרם רבות למדינה בתחומים עליהם לא יפרט וכי על בית המשפט לקחת בחשבון את מעמדו.</w:t>
      </w:r>
    </w:p>
    <w:p w:rsidR="002E0A2E" w:rsidRDefault="002E0A2E" w:rsidP="002E0A2E">
      <w:pPr>
        <w:spacing w:line="360" w:lineRule="auto"/>
        <w:jc w:val="both"/>
        <w:rPr>
          <w:rFonts w:ascii="Arial" w:hAnsi="Arial"/>
          <w:noProof w:val="0"/>
          <w:rtl/>
        </w:rPr>
      </w:pPr>
    </w:p>
    <w:p w:rsidR="002E0A2E" w:rsidRDefault="002E0A2E" w:rsidP="002E0A2E">
      <w:pPr>
        <w:spacing w:line="360" w:lineRule="auto"/>
        <w:jc w:val="both"/>
        <w:rPr>
          <w:rFonts w:ascii="Arial" w:hAnsi="Arial"/>
          <w:noProof w:val="0"/>
          <w:rtl/>
        </w:rPr>
      </w:pPr>
      <w:r>
        <w:rPr>
          <w:rFonts w:ascii="Arial" w:hAnsi="Arial" w:hint="cs"/>
          <w:noProof w:val="0"/>
          <w:rtl/>
        </w:rPr>
        <w:t>הנאשם ביקש לקחת בחשבון, כי יש לו ילדים ונכדים שהוא אמון על פרנסתם ודואג להם, ומסר, כי לאחרונה היו מקרי רצח ביישוב אום בטין, וכי הוא בטוח ש"הדברים ילכו למקומות הרבה יותר גרועים שכולנו לא רוצים".</w:t>
      </w:r>
    </w:p>
    <w:p w:rsidR="002E0A2E" w:rsidRDefault="002E0A2E" w:rsidP="002E0A2E">
      <w:pPr>
        <w:spacing w:line="360" w:lineRule="auto"/>
        <w:jc w:val="both"/>
        <w:rPr>
          <w:rFonts w:ascii="Arial" w:hAnsi="Arial"/>
          <w:noProof w:val="0"/>
          <w:rtl/>
        </w:rPr>
      </w:pPr>
    </w:p>
    <w:p w:rsidR="002E0A2E" w:rsidRDefault="002E0A2E" w:rsidP="00FA40C9">
      <w:pPr>
        <w:spacing w:line="360" w:lineRule="auto"/>
        <w:jc w:val="both"/>
        <w:rPr>
          <w:rFonts w:ascii="Arial" w:hAnsi="Arial"/>
          <w:noProof w:val="0"/>
          <w:rtl/>
        </w:rPr>
      </w:pPr>
      <w:r>
        <w:rPr>
          <w:rFonts w:ascii="Arial" w:hAnsi="Arial" w:hint="cs"/>
          <w:noProof w:val="0"/>
          <w:rtl/>
        </w:rPr>
        <w:t>הנאשם מסר, כי לא התחתן בפועל אלא רק רשם את נישואיו כיוון שהוא מכבד את הדת שלו והחברה</w:t>
      </w:r>
      <w:r w:rsidR="00ED47BF">
        <w:rPr>
          <w:rFonts w:ascii="Arial" w:hAnsi="Arial" w:hint="cs"/>
          <w:noProof w:val="0"/>
          <w:rtl/>
        </w:rPr>
        <w:t xml:space="preserve"> ממנה מגיע, הכל נעשה בהסכמת הא</w:t>
      </w:r>
      <w:r>
        <w:rPr>
          <w:rFonts w:ascii="Arial" w:hAnsi="Arial" w:hint="cs"/>
          <w:noProof w:val="0"/>
          <w:rtl/>
        </w:rPr>
        <w:t>שה הראשונה, ו</w:t>
      </w:r>
      <w:r w:rsidR="00FA40C9">
        <w:rPr>
          <w:rFonts w:ascii="Arial" w:hAnsi="Arial" w:hint="cs"/>
          <w:noProof w:val="0"/>
          <w:rtl/>
        </w:rPr>
        <w:t>מ</w:t>
      </w:r>
      <w:r>
        <w:rPr>
          <w:rFonts w:ascii="Arial" w:hAnsi="Arial" w:hint="cs"/>
          <w:noProof w:val="0"/>
          <w:rtl/>
        </w:rPr>
        <w:t>מילא, הוא התגרש עוד בטרם הוגש נגדו כתב אישום.</w:t>
      </w:r>
    </w:p>
    <w:p w:rsidR="002E0A2E" w:rsidRPr="000C353B" w:rsidRDefault="002E0A2E" w:rsidP="002E0A2E">
      <w:pPr>
        <w:spacing w:line="360" w:lineRule="auto"/>
        <w:jc w:val="both"/>
        <w:rPr>
          <w:rFonts w:ascii="Arial" w:hAnsi="Arial"/>
          <w:noProof w:val="0"/>
          <w:rtl/>
        </w:rPr>
      </w:pPr>
      <w:r>
        <w:rPr>
          <w:rFonts w:ascii="Arial" w:hAnsi="Arial" w:hint="cs"/>
          <w:noProof w:val="0"/>
          <w:rtl/>
        </w:rPr>
        <w:t xml:space="preserve"> </w:t>
      </w:r>
    </w:p>
    <w:p w:rsidR="00D35A3F" w:rsidRDefault="00D35A3F" w:rsidP="00D35A3F">
      <w:pPr>
        <w:spacing w:line="360" w:lineRule="auto"/>
        <w:jc w:val="both"/>
        <w:rPr>
          <w:rFonts w:ascii="Arial" w:hAnsi="Arial"/>
          <w:noProof w:val="0"/>
          <w:rtl/>
        </w:rPr>
      </w:pPr>
    </w:p>
    <w:p w:rsidR="00D35A3F" w:rsidRDefault="00D35A3F" w:rsidP="00D35A3F">
      <w:pPr>
        <w:spacing w:line="360" w:lineRule="auto"/>
        <w:jc w:val="both"/>
        <w:rPr>
          <w:rFonts w:ascii="Arial" w:hAnsi="Arial"/>
          <w:noProof w:val="0"/>
          <w:rtl/>
        </w:rPr>
      </w:pPr>
      <w:r>
        <w:rPr>
          <w:rFonts w:ascii="Arial" w:hAnsi="Arial" w:hint="cs"/>
          <w:b/>
          <w:bCs/>
          <w:noProof w:val="0"/>
          <w:rtl/>
        </w:rPr>
        <w:t>דיון והכרעה</w:t>
      </w:r>
    </w:p>
    <w:p w:rsidR="00D35A3F" w:rsidRDefault="00D35A3F" w:rsidP="00D35A3F">
      <w:pPr>
        <w:spacing w:line="360" w:lineRule="auto"/>
        <w:jc w:val="both"/>
        <w:rPr>
          <w:rFonts w:ascii="Arial" w:hAnsi="Arial"/>
          <w:noProof w:val="0"/>
          <w:rtl/>
        </w:rPr>
      </w:pPr>
    </w:p>
    <w:p w:rsidR="00FC7885" w:rsidRPr="00FC7885" w:rsidRDefault="00FC7885" w:rsidP="00FC7885">
      <w:pPr>
        <w:spacing w:line="360" w:lineRule="auto"/>
        <w:jc w:val="both"/>
        <w:rPr>
          <w:rFonts w:ascii="Arial" w:hAnsi="Arial"/>
        </w:rPr>
      </w:pPr>
      <w:r w:rsidRPr="00FC7885">
        <w:rPr>
          <w:rFonts w:ascii="Arial" w:hAnsi="Arial"/>
          <w:rtl/>
        </w:rPr>
        <w:t>אין צורך להכביר מילים בנוגע להשלכותיה של העבירה, שענינה ריבוי נישואין.</w:t>
      </w:r>
    </w:p>
    <w:p w:rsidR="00FC7885" w:rsidRPr="00FC7885" w:rsidRDefault="00FC7885" w:rsidP="00FC7885">
      <w:pPr>
        <w:spacing w:line="360" w:lineRule="auto"/>
        <w:jc w:val="both"/>
        <w:rPr>
          <w:rFonts w:ascii="Arial" w:hAnsi="Arial"/>
        </w:rPr>
      </w:pPr>
    </w:p>
    <w:p w:rsidR="00D754E2" w:rsidRPr="00FC7885" w:rsidRDefault="00FC7885" w:rsidP="00D754E2">
      <w:pPr>
        <w:spacing w:line="360" w:lineRule="auto"/>
        <w:jc w:val="both"/>
        <w:rPr>
          <w:rFonts w:ascii="Arial" w:hAnsi="Arial"/>
        </w:rPr>
      </w:pPr>
      <w:r w:rsidRPr="00FC7885">
        <w:rPr>
          <w:rFonts w:ascii="Arial" w:hAnsi="Arial"/>
          <w:rtl/>
        </w:rPr>
        <w:t>מעבר לפגיעה בכבוד האשה ובאפשרות לקדם השוויון בין המינים – מהוות עבירות אלה, כר פורה לתופעות רבות של עוני; ניצול; עבריינות; ואם לא תטופל תופעה זו – עלול הדבר להסיג אחור מצבן של משפחות רבות, חלף קידום שילובן במסגרת החברה המודרנית.</w:t>
      </w:r>
    </w:p>
    <w:p w:rsidR="00FC7885" w:rsidRPr="00FC7885" w:rsidRDefault="00FC7885" w:rsidP="00FC7885">
      <w:pPr>
        <w:spacing w:line="360" w:lineRule="auto"/>
        <w:jc w:val="both"/>
        <w:rPr>
          <w:rFonts w:ascii="Arial" w:hAnsi="Arial"/>
          <w:rtl/>
        </w:rPr>
      </w:pPr>
    </w:p>
    <w:p w:rsidR="00FC7885" w:rsidRPr="00FC7885" w:rsidRDefault="00FC7885" w:rsidP="00FC7885">
      <w:pPr>
        <w:spacing w:line="360" w:lineRule="auto"/>
        <w:jc w:val="both"/>
        <w:rPr>
          <w:rFonts w:ascii="Arial" w:hAnsi="Arial"/>
          <w:color w:val="000000"/>
          <w:rtl/>
        </w:rPr>
      </w:pPr>
      <w:r w:rsidRPr="00FC7885">
        <w:rPr>
          <w:rFonts w:ascii="Arial" w:hAnsi="Arial"/>
          <w:rtl/>
        </w:rPr>
        <w:t xml:space="preserve">ראו ניתוח מפורט של התופעה, של </w:t>
      </w:r>
      <w:r w:rsidRPr="00FC7885">
        <w:rPr>
          <w:rFonts w:ascii="Arial" w:hAnsi="Arial" w:hint="cs"/>
          <w:rtl/>
        </w:rPr>
        <w:t xml:space="preserve">השלכותיה </w:t>
      </w:r>
      <w:r w:rsidRPr="00FC7885">
        <w:rPr>
          <w:rFonts w:ascii="Arial" w:hAnsi="Arial"/>
          <w:rtl/>
        </w:rPr>
        <w:t xml:space="preserve">ושל שיקולי הענישה בגזר הדין </w:t>
      </w:r>
      <w:hyperlink r:id="rId9" w:history="1">
        <w:r w:rsidRPr="00FC7885">
          <w:rPr>
            <w:rFonts w:ascii="Arial" w:hAnsi="Arial"/>
            <w:noProof w:val="0"/>
            <w:rtl/>
          </w:rPr>
          <w:t>ת"פ 25462-04-18</w:t>
        </w:r>
      </w:hyperlink>
      <w:r w:rsidRPr="00FC7885">
        <w:rPr>
          <w:rFonts w:ascii="Arial" w:hAnsi="Arial"/>
          <w:rtl/>
        </w:rPr>
        <w:t xml:space="preserve"> </w:t>
      </w:r>
      <w:r w:rsidRPr="00FC7885">
        <w:rPr>
          <w:rFonts w:ascii="Arial" w:hAnsi="Arial" w:hint="cs"/>
          <w:b/>
          <w:bCs/>
          <w:color w:val="000000"/>
          <w:rtl/>
        </w:rPr>
        <w:t>מדינת ישראל נ' אבו סקיק</w:t>
      </w:r>
      <w:r w:rsidRPr="00FC7885">
        <w:rPr>
          <w:rFonts w:ascii="Arial" w:hAnsi="Arial" w:hint="cs"/>
          <w:color w:val="000000"/>
          <w:rtl/>
        </w:rPr>
        <w:t xml:space="preserve"> (פורסם במאגרים - 2019) להלן: "</w:t>
      </w:r>
      <w:r w:rsidRPr="00FC7885">
        <w:rPr>
          <w:rFonts w:ascii="Arial" w:hAnsi="Arial" w:hint="cs"/>
          <w:b/>
          <w:bCs/>
          <w:color w:val="000000"/>
          <w:rtl/>
        </w:rPr>
        <w:t>פרשת אבו סקיק</w:t>
      </w:r>
      <w:r w:rsidRPr="00FC7885">
        <w:rPr>
          <w:rFonts w:ascii="Arial" w:hAnsi="Arial" w:hint="cs"/>
          <w:color w:val="000000"/>
          <w:rtl/>
        </w:rPr>
        <w:t>".</w:t>
      </w:r>
    </w:p>
    <w:p w:rsidR="00D754E2" w:rsidRDefault="00D754E2" w:rsidP="00FC7885">
      <w:pPr>
        <w:spacing w:line="360" w:lineRule="auto"/>
        <w:jc w:val="both"/>
        <w:rPr>
          <w:rFonts w:ascii="Arial" w:hAnsi="Arial"/>
          <w:rtl/>
        </w:rPr>
      </w:pPr>
    </w:p>
    <w:p w:rsidR="00FC7885" w:rsidRPr="00FC7885" w:rsidRDefault="00FC7885" w:rsidP="00FC7885">
      <w:pPr>
        <w:spacing w:line="360" w:lineRule="auto"/>
        <w:jc w:val="both"/>
        <w:rPr>
          <w:rFonts w:ascii="Arial" w:hAnsi="Arial"/>
        </w:rPr>
      </w:pPr>
      <w:r w:rsidRPr="00FC7885">
        <w:rPr>
          <w:rFonts w:ascii="Arial" w:hAnsi="Arial"/>
          <w:rtl/>
        </w:rPr>
        <w:t xml:space="preserve">אשר למתחם הענישה – בגזר הדין בפרשת </w:t>
      </w:r>
      <w:r w:rsidRPr="00FC7885">
        <w:rPr>
          <w:rFonts w:ascii="Arial" w:hAnsi="Arial"/>
          <w:b/>
          <w:bCs/>
          <w:rtl/>
        </w:rPr>
        <w:t>אבו סקיק</w:t>
      </w:r>
      <w:r w:rsidRPr="00FC7885">
        <w:rPr>
          <w:rFonts w:ascii="Arial" w:hAnsi="Arial"/>
          <w:rtl/>
        </w:rPr>
        <w:t>, התייחס בית המשפט לחומרת התופעה ולהשלכותיה, אך מצא לקבוע, כי בטרם קביעת מתחם ענישה מחמיר, שייתן מענה לשיקולי הענישה, כפי שפורטו – ראוי לקבוע מתחם ביניים, למשך תקופה, לא ארוכה, במהלכה יינקטו אמצעים חינוכיים ופרסומיים, כך שיהיה בידי הציבור להפנים שינוי המדיניות של גורמי האכיפה. זאת, מאחר שעבירות אלה לא נאכפו, במחוז הדרום, למשך כשבעה עשורים, מאז קום מדינת ישראל.</w:t>
      </w:r>
    </w:p>
    <w:p w:rsidR="00FC7885" w:rsidRPr="00FC7885" w:rsidRDefault="00FC7885" w:rsidP="00FC7885">
      <w:pPr>
        <w:spacing w:line="360" w:lineRule="auto"/>
        <w:jc w:val="both"/>
        <w:rPr>
          <w:rFonts w:ascii="Arial" w:hAnsi="Arial"/>
          <w:rtl/>
        </w:rPr>
      </w:pPr>
    </w:p>
    <w:p w:rsidR="00FC7885" w:rsidRPr="00FC7885" w:rsidRDefault="00FC7885" w:rsidP="00FC7885">
      <w:pPr>
        <w:spacing w:line="360" w:lineRule="auto"/>
        <w:jc w:val="both"/>
        <w:rPr>
          <w:rFonts w:ascii="Arial" w:hAnsi="Arial"/>
          <w:rtl/>
        </w:rPr>
      </w:pPr>
      <w:r w:rsidRPr="00FC7885">
        <w:rPr>
          <w:rFonts w:ascii="Arial" w:hAnsi="Arial"/>
          <w:rtl/>
        </w:rPr>
        <w:lastRenderedPageBreak/>
        <w:t>אלא, בערעור שהוגש על גזר הדין (</w:t>
      </w:r>
      <w:hyperlink r:id="rId10" w:history="1">
        <w:r w:rsidRPr="00FC7885">
          <w:rPr>
            <w:rFonts w:ascii="Arial" w:hAnsi="Arial"/>
            <w:noProof w:val="0"/>
            <w:rtl/>
          </w:rPr>
          <w:t>עפ"ג 26408-04-19</w:t>
        </w:r>
      </w:hyperlink>
      <w:r w:rsidRPr="00FC7885">
        <w:rPr>
          <w:rFonts w:ascii="Arial" w:hAnsi="Arial"/>
          <w:rtl/>
        </w:rPr>
        <w:t xml:space="preserve"> - פורסם במאגרים) דחה בית המשפט המחוזי עמדה זו והורה להחיל לאלתר מתחם ענישה מחמיר, שינוע בין 7 – 18 חדשי מאסר בפועל, בכליאה ממשית.</w:t>
      </w:r>
    </w:p>
    <w:p w:rsidR="00FC7885" w:rsidRPr="00FC7885" w:rsidRDefault="00FC7885" w:rsidP="00FC7885">
      <w:pPr>
        <w:spacing w:line="360" w:lineRule="auto"/>
        <w:jc w:val="both"/>
        <w:rPr>
          <w:rFonts w:ascii="Arial" w:hAnsi="Arial"/>
          <w:rtl/>
        </w:rPr>
      </w:pPr>
    </w:p>
    <w:p w:rsidR="00FC7885" w:rsidRPr="00FC7885" w:rsidRDefault="00FC7885" w:rsidP="00FC7885">
      <w:pPr>
        <w:spacing w:line="360" w:lineRule="auto"/>
        <w:jc w:val="both"/>
        <w:rPr>
          <w:rFonts w:ascii="Arial" w:hAnsi="Arial"/>
        </w:rPr>
      </w:pPr>
      <w:r w:rsidRPr="00FC7885">
        <w:rPr>
          <w:rFonts w:ascii="Arial" w:hAnsi="Arial"/>
          <w:rtl/>
        </w:rPr>
        <w:t>בקשת רשות ערעור לבית המשפט העליון – נדחתה (</w:t>
      </w:r>
      <w:hyperlink r:id="rId11" w:history="1">
        <w:r w:rsidRPr="00FC7885">
          <w:rPr>
            <w:rFonts w:ascii="Arial" w:hAnsi="Arial"/>
            <w:noProof w:val="0"/>
            <w:rtl/>
          </w:rPr>
          <w:t>רע"פ 664/11</w:t>
        </w:r>
      </w:hyperlink>
      <w:r w:rsidRPr="00FC7885">
        <w:rPr>
          <w:rFonts w:ascii="Arial" w:hAnsi="Arial"/>
          <w:rtl/>
        </w:rPr>
        <w:t xml:space="preserve">  - פורסם במאגרים).</w:t>
      </w:r>
    </w:p>
    <w:p w:rsidR="00FC7885" w:rsidRPr="00FC7885" w:rsidRDefault="00FC7885" w:rsidP="00FC7885">
      <w:pPr>
        <w:spacing w:line="360" w:lineRule="auto"/>
        <w:jc w:val="both"/>
        <w:rPr>
          <w:rFonts w:ascii="Arial" w:hAnsi="Arial"/>
          <w:color w:val="000000"/>
          <w:rtl/>
        </w:rPr>
      </w:pPr>
    </w:p>
    <w:p w:rsidR="00FC7885" w:rsidRPr="00FC7885" w:rsidRDefault="00FC7885" w:rsidP="00FC7885">
      <w:pPr>
        <w:spacing w:line="360" w:lineRule="auto"/>
        <w:jc w:val="both"/>
        <w:rPr>
          <w:rFonts w:ascii="Arial" w:hAnsi="Arial"/>
          <w:rtl/>
        </w:rPr>
      </w:pPr>
      <w:r w:rsidRPr="00FC7885">
        <w:rPr>
          <w:rFonts w:ascii="Arial" w:hAnsi="Arial"/>
          <w:rtl/>
        </w:rPr>
        <w:t xml:space="preserve">עוד נקבע, כי עבירות מסוג זה אינן סובלות ענישה, שלא תהיה מאחורי סורג ובריח, וכך נפסק גם במקרים, בהם הוכחו לפני בית המשפט נסיבות </w:t>
      </w:r>
      <w:r w:rsidRPr="00FC7885">
        <w:rPr>
          <w:rFonts w:ascii="Arial" w:hAnsi="Arial"/>
          <w:u w:val="single"/>
          <w:rtl/>
        </w:rPr>
        <w:t>חריגות ביותר</w:t>
      </w:r>
      <w:r w:rsidRPr="00FC7885">
        <w:rPr>
          <w:rFonts w:ascii="Arial" w:hAnsi="Arial"/>
          <w:rtl/>
        </w:rPr>
        <w:t xml:space="preserve">. כך, </w:t>
      </w:r>
      <w:r w:rsidRPr="00FC7885">
        <w:rPr>
          <w:rFonts w:ascii="Arial" w:hAnsi="Arial"/>
          <w:color w:val="000000"/>
          <w:rtl/>
        </w:rPr>
        <w:t>ראו</w:t>
      </w:r>
      <w:r w:rsidRPr="00FC7885">
        <w:rPr>
          <w:rFonts w:ascii="Arial" w:hAnsi="Arial"/>
          <w:rtl/>
        </w:rPr>
        <w:t xml:space="preserve"> </w:t>
      </w:r>
      <w:hyperlink r:id="rId12" w:history="1">
        <w:r w:rsidRPr="00FC7885">
          <w:rPr>
            <w:rFonts w:ascii="Arial" w:hAnsi="Arial"/>
            <w:noProof w:val="0"/>
            <w:rtl/>
          </w:rPr>
          <w:t>עפ"ג 10875-04-20</w:t>
        </w:r>
      </w:hyperlink>
      <w:r w:rsidRPr="00FC7885">
        <w:rPr>
          <w:rFonts w:ascii="Arial" w:hAnsi="Arial"/>
          <w:rtl/>
        </w:rPr>
        <w:t xml:space="preserve"> </w:t>
      </w:r>
      <w:r w:rsidRPr="00FC7885">
        <w:rPr>
          <w:rFonts w:ascii="Arial" w:hAnsi="Arial" w:hint="cs"/>
          <w:b/>
          <w:bCs/>
          <w:rtl/>
        </w:rPr>
        <w:t>מדינת ישראל נ' אלעתמין</w:t>
      </w:r>
      <w:r w:rsidRPr="00FC7885">
        <w:rPr>
          <w:rFonts w:ascii="Arial" w:hAnsi="Arial" w:hint="cs"/>
          <w:rtl/>
        </w:rPr>
        <w:t>, שם על אף נסיבות חריגות מאוד (שאינן מתקיימות במקרה דנן) הוחמר עונש של 9 חודשי מאסר לריצוי בדרך של עבודות שירות, שהטיל מותב זה, ל</w:t>
      </w:r>
      <w:r w:rsidR="00BC3D4B">
        <w:rPr>
          <w:rFonts w:ascii="Arial" w:hAnsi="Arial" w:hint="cs"/>
          <w:rtl/>
        </w:rPr>
        <w:t xml:space="preserve">עונש של </w:t>
      </w:r>
      <w:r w:rsidRPr="00FC7885">
        <w:rPr>
          <w:rFonts w:ascii="Arial" w:hAnsi="Arial" w:hint="cs"/>
          <w:rtl/>
        </w:rPr>
        <w:t>מאסר בפועל בין כתלי בית האסורים, אם גם לתקופה קצרה יותר.</w:t>
      </w:r>
    </w:p>
    <w:p w:rsidR="00FC7885" w:rsidRPr="00FC7885" w:rsidRDefault="00FC7885" w:rsidP="00FC7885">
      <w:pPr>
        <w:spacing w:line="360" w:lineRule="auto"/>
        <w:jc w:val="both"/>
        <w:rPr>
          <w:rFonts w:ascii="Arial" w:hAnsi="Arial"/>
          <w:rtl/>
        </w:rPr>
      </w:pPr>
    </w:p>
    <w:p w:rsidR="00FC7885" w:rsidRPr="00FC7885" w:rsidRDefault="00FC7885" w:rsidP="00BC3D4B">
      <w:pPr>
        <w:spacing w:line="360" w:lineRule="auto"/>
        <w:jc w:val="both"/>
        <w:rPr>
          <w:rFonts w:ascii="Arial" w:hAnsi="Arial"/>
          <w:rtl/>
        </w:rPr>
      </w:pPr>
      <w:r w:rsidRPr="00FC7885">
        <w:rPr>
          <w:rFonts w:ascii="Arial" w:hAnsi="Arial"/>
          <w:rtl/>
        </w:rPr>
        <w:t xml:space="preserve">עוד ראו התייחסות בית המשפט המחוזי לעבירת ריבוי נישואין בפסק דין של בית המשפט המחוזי בבאר שבע, </w:t>
      </w:r>
      <w:hyperlink r:id="rId13" w:history="1">
        <w:r w:rsidRPr="00FC7885">
          <w:rPr>
            <w:rFonts w:ascii="Arial" w:hAnsi="Arial"/>
            <w:rtl/>
          </w:rPr>
          <w:t>עפ"ג 11731-04-22</w:t>
        </w:r>
      </w:hyperlink>
      <w:r w:rsidRPr="00FC7885">
        <w:rPr>
          <w:rFonts w:ascii="Arial" w:hAnsi="Arial"/>
          <w:rtl/>
        </w:rPr>
        <w:t xml:space="preserve"> </w:t>
      </w:r>
      <w:r w:rsidRPr="00FC7885">
        <w:rPr>
          <w:rFonts w:ascii="Arial" w:hAnsi="Arial"/>
          <w:b/>
          <w:bCs/>
          <w:rtl/>
        </w:rPr>
        <w:t>אבו סבילה נ' מדינת ישראל</w:t>
      </w:r>
      <w:r w:rsidRPr="00FC7885">
        <w:rPr>
          <w:rFonts w:ascii="Arial" w:hAnsi="Arial"/>
          <w:rtl/>
        </w:rPr>
        <w:t xml:space="preserve"> (פורסם במאגרים), אשר ניתן ביום 22.06.22:</w:t>
      </w:r>
    </w:p>
    <w:p w:rsidR="00FC7885" w:rsidRPr="00FC7885" w:rsidRDefault="00FC7885" w:rsidP="00FC7885">
      <w:pPr>
        <w:spacing w:line="360" w:lineRule="auto"/>
        <w:jc w:val="both"/>
        <w:rPr>
          <w:rFonts w:ascii="Arial" w:hAnsi="Arial"/>
          <w:rtl/>
        </w:rPr>
      </w:pPr>
    </w:p>
    <w:p w:rsidR="00FC7885" w:rsidRDefault="00FC7885" w:rsidP="00FC7885">
      <w:pPr>
        <w:spacing w:line="360" w:lineRule="auto"/>
        <w:jc w:val="both"/>
        <w:rPr>
          <w:rFonts w:ascii="Aharoni" w:hAnsi="Aharoni" w:cs="Aharoni"/>
          <w:rtl/>
        </w:rPr>
      </w:pPr>
      <w:r w:rsidRPr="00FC7885">
        <w:rPr>
          <w:rFonts w:ascii="Aharoni" w:hAnsi="Aharoni" w:cs="Aharoni" w:hint="cs"/>
          <w:rtl/>
        </w:rPr>
        <w:t xml:space="preserve">האיסור הפלילי נחוץ בעיקר למניעת ריבוי נישואין בעדות ובחברות בהן הדבר מקובל כלגיטימי, שבהן גם מעמד האשה נמוך וקיים חוסר שוויון בולט בין המינים. ומטרתו לשנות את המצב החברתי, להגן על הנשים ולהשוות את זכויותיהן לזכויות הגבר. </w:t>
      </w:r>
    </w:p>
    <w:p w:rsidR="00D754E2" w:rsidRPr="00FC7885" w:rsidRDefault="00D754E2" w:rsidP="00FC7885">
      <w:pPr>
        <w:spacing w:line="360" w:lineRule="auto"/>
        <w:jc w:val="both"/>
        <w:rPr>
          <w:rFonts w:ascii="Aharoni" w:hAnsi="Aharoni" w:cs="Aharoni"/>
          <w:rtl/>
        </w:rPr>
      </w:pPr>
    </w:p>
    <w:p w:rsidR="00FC7885" w:rsidRPr="00FC7885" w:rsidRDefault="00FC7885" w:rsidP="00FC7885">
      <w:pPr>
        <w:spacing w:line="360" w:lineRule="auto"/>
        <w:jc w:val="both"/>
        <w:rPr>
          <w:rFonts w:ascii="Aharoni" w:hAnsi="Aharoni" w:cs="Aharoni"/>
        </w:rPr>
      </w:pPr>
      <w:r w:rsidRPr="00FC7885">
        <w:rPr>
          <w:rFonts w:ascii="Aharoni" w:hAnsi="Aharoni" w:cs="Aharoni" w:hint="cs"/>
          <w:rtl/>
        </w:rPr>
        <w:t xml:space="preserve">בשנים הראשונות של המדינה, היו בישראל קהילות שבאו מארצות מוסלמיות בהן גם היהודים נהגו לשאת יותר מאשה אחת, שבמסגרתן היו נישואין פוליגמיים. אולם תופעה זו הלכה ונעלמה ולא עברה לדור השני וכיום היא איננה קיימת. </w:t>
      </w:r>
    </w:p>
    <w:p w:rsidR="00FC7885" w:rsidRPr="00FC7885" w:rsidRDefault="00FC7885" w:rsidP="00FC7885">
      <w:pPr>
        <w:spacing w:line="360" w:lineRule="auto"/>
        <w:jc w:val="both"/>
        <w:rPr>
          <w:rFonts w:ascii="Aharoni" w:hAnsi="Aharoni" w:cs="Aharoni"/>
          <w:rtl/>
        </w:rPr>
      </w:pPr>
    </w:p>
    <w:p w:rsidR="00FC7885" w:rsidRPr="00FC7885" w:rsidRDefault="00FC7885" w:rsidP="00FC7885">
      <w:pPr>
        <w:spacing w:line="360" w:lineRule="auto"/>
        <w:jc w:val="both"/>
        <w:rPr>
          <w:rFonts w:ascii="Aharoni" w:hAnsi="Aharoni" w:cs="Aharoni"/>
          <w:rtl/>
        </w:rPr>
      </w:pPr>
      <w:r w:rsidRPr="00FC7885">
        <w:rPr>
          <w:rFonts w:ascii="Aharoni" w:hAnsi="Aharoni" w:cs="Aharoni" w:hint="cs"/>
          <w:rtl/>
        </w:rPr>
        <w:t xml:space="preserve">לעומת זאת, בחברה המוסלמית, הפוליגמיה עדיין נתפסת כדבר לגיטימי, היא קיימת בהיקף משמעותי, ונוכחת בכל הגילאים והמעמדות, ולא נראה שהיא תדעך מאליה בתהליך חברתי פנימי. </w:t>
      </w:r>
    </w:p>
    <w:p w:rsidR="00FC7885" w:rsidRPr="00FC7885" w:rsidRDefault="00FC7885" w:rsidP="00FC7885">
      <w:pPr>
        <w:spacing w:line="360" w:lineRule="auto"/>
        <w:jc w:val="both"/>
        <w:rPr>
          <w:rFonts w:ascii="Aharoni" w:hAnsi="Aharoni" w:cs="Aharoni"/>
          <w:rtl/>
        </w:rPr>
      </w:pPr>
      <w:r w:rsidRPr="00FC7885">
        <w:rPr>
          <w:rFonts w:ascii="Aharoni" w:hAnsi="Aharoni" w:cs="Aharoni" w:hint="cs"/>
          <w:rtl/>
        </w:rPr>
        <w:t xml:space="preserve">במצב דברים זה, האיסור הפורמאלי נחוץ ודרושה אכיפה רחבה וענישה מרתיעה. והטענה שריבוי נישואין הינו מעשה מקובל בחברה של הנאשם – כפי שהמערער טוען – לא רק שאינה מצדיקה הקלה בעונש, אלא שדווקא היא מצדיקה אכיפה וענישה משמעותית מרתיעה. </w:t>
      </w:r>
    </w:p>
    <w:p w:rsidR="00FC7885" w:rsidRPr="00FC7885" w:rsidRDefault="00FC7885" w:rsidP="00FC7885">
      <w:pPr>
        <w:spacing w:line="360" w:lineRule="auto"/>
        <w:jc w:val="both"/>
        <w:rPr>
          <w:rFonts w:ascii="Aharoni" w:hAnsi="Aharoni" w:cs="Aharoni"/>
          <w:rtl/>
        </w:rPr>
      </w:pPr>
      <w:r w:rsidRPr="00FC7885">
        <w:rPr>
          <w:rFonts w:ascii="Aharoni" w:hAnsi="Aharoni" w:cs="Aharoni" w:hint="cs"/>
          <w:rtl/>
        </w:rPr>
        <w:lastRenderedPageBreak/>
        <w:t xml:space="preserve">העונש החמור הקבוע לצד עבירת ריבוי נישואין, 5 שנות מאסר, מדבר בעד עצמו ומלמד על הפסול שהחברה בישראל מייחסת לעבירה. </w:t>
      </w:r>
    </w:p>
    <w:p w:rsidR="00FC7885" w:rsidRPr="00FC7885" w:rsidRDefault="00FC7885" w:rsidP="00FC7885">
      <w:pPr>
        <w:spacing w:line="360" w:lineRule="auto"/>
        <w:jc w:val="both"/>
        <w:rPr>
          <w:rFonts w:ascii="Aharoni" w:hAnsi="Aharoni" w:cs="Aharoni"/>
          <w:rtl/>
        </w:rPr>
      </w:pPr>
    </w:p>
    <w:p w:rsidR="00FC7885" w:rsidRPr="00FC7885" w:rsidRDefault="00FC7885" w:rsidP="00FC7885">
      <w:pPr>
        <w:spacing w:line="360" w:lineRule="auto"/>
        <w:rPr>
          <w:rFonts w:ascii="Aharoni" w:hAnsi="Aharoni" w:cs="Aharoni"/>
          <w:rtl/>
        </w:rPr>
      </w:pPr>
      <w:r w:rsidRPr="00FC7885">
        <w:rPr>
          <w:rFonts w:ascii="Aharoni" w:hAnsi="Aharoni" w:cs="Aharoni" w:hint="cs"/>
          <w:rtl/>
        </w:rPr>
        <w:t xml:space="preserve">הענישה הנהוגה בעבירת הפוליגמיה נעה </w:t>
      </w:r>
      <w:r w:rsidRPr="00FC7885">
        <w:rPr>
          <w:rFonts w:ascii="Aharoni" w:hAnsi="Aharoni" w:cs="Aharoni" w:hint="cs"/>
          <w:u w:val="single"/>
          <w:rtl/>
        </w:rPr>
        <w:t>בין 7 ל- 18 חודשי מאסר בפועל</w:t>
      </w:r>
      <w:r w:rsidRPr="00FC7885">
        <w:rPr>
          <w:rFonts w:ascii="Aharoni" w:hAnsi="Aharoni" w:cs="Aharoni" w:hint="cs"/>
          <w:rtl/>
        </w:rPr>
        <w:t xml:space="preserve">, מאחורי סורג ובריח ולא בעבודות שירות (ראה והשווה - </w:t>
      </w:r>
      <w:hyperlink r:id="rId14" w:history="1">
        <w:r w:rsidRPr="00FC7885">
          <w:rPr>
            <w:rFonts w:ascii="Aharoni" w:hAnsi="Aharoni" w:cs="Aharoni"/>
            <w:u w:val="single"/>
            <w:rtl/>
          </w:rPr>
          <w:t>רע"פ 6413/19</w:t>
        </w:r>
      </w:hyperlink>
      <w:r w:rsidRPr="00FC7885">
        <w:rPr>
          <w:rFonts w:ascii="Aharoni" w:hAnsi="Aharoni" w:cs="Aharoni" w:hint="cs"/>
          <w:rtl/>
        </w:rPr>
        <w:t xml:space="preserve"> אמין אבו סקייק נ' מדינת ישראל (23.10.19); ו</w:t>
      </w:r>
      <w:hyperlink r:id="rId15" w:history="1">
        <w:r w:rsidRPr="00FC7885">
          <w:rPr>
            <w:rFonts w:ascii="Aharoni" w:hAnsi="Aharoni" w:cs="Aharoni"/>
            <w:u w:val="single"/>
            <w:rtl/>
          </w:rPr>
          <w:t>ע"פ 4085/91</w:t>
        </w:r>
      </w:hyperlink>
      <w:r w:rsidRPr="00FC7885">
        <w:rPr>
          <w:rFonts w:ascii="Aharoni" w:hAnsi="Aharoni" w:cs="Aharoni" w:hint="cs"/>
          <w:rtl/>
        </w:rPr>
        <w:t xml:space="preserve"> שיבלי נ' מדינת ישראל [פורסם בנבו] (17.10.1991))</w:t>
      </w:r>
    </w:p>
    <w:p w:rsidR="00FC7885" w:rsidRPr="00FC7885" w:rsidRDefault="00FC7885" w:rsidP="00FC7885">
      <w:pPr>
        <w:spacing w:line="360" w:lineRule="auto"/>
        <w:rPr>
          <w:rFonts w:ascii="Aharoni" w:hAnsi="Aharoni" w:cs="Aharoni"/>
          <w:rtl/>
        </w:rPr>
      </w:pPr>
    </w:p>
    <w:p w:rsidR="00FC7885" w:rsidRPr="00FC7885" w:rsidRDefault="00FC7885" w:rsidP="00FC7885">
      <w:pPr>
        <w:spacing w:line="360" w:lineRule="auto"/>
        <w:jc w:val="both"/>
        <w:rPr>
          <w:rFonts w:ascii="Aharoni" w:hAnsi="Aharoni" w:cs="Aharoni"/>
          <w:rtl/>
        </w:rPr>
      </w:pPr>
      <w:r w:rsidRPr="00FC7885">
        <w:rPr>
          <w:rFonts w:ascii="Aharoni" w:hAnsi="Aharoni" w:cs="Aharoni" w:hint="cs"/>
          <w:rtl/>
        </w:rPr>
        <w:t>בהתחשב בפרק הזמן שעבר מאז החלה האכיפה בעבירה זו ובפרסום שניתן לאיסור ולאכיפתו, ועל מנת לגרום להרתעה אפקטיבית מפני ביצוע העבירה, שרווחיה בצדה, יש מקום לשקול החמרה של ממש בענישת נישואי ביגמיה חדשים.</w:t>
      </w:r>
    </w:p>
    <w:p w:rsidR="00FC7885" w:rsidRPr="00FC7885" w:rsidRDefault="00FC7885" w:rsidP="00FC7885">
      <w:pPr>
        <w:spacing w:line="360" w:lineRule="auto"/>
        <w:jc w:val="both"/>
        <w:rPr>
          <w:rFonts w:ascii="Arial" w:hAnsi="Arial"/>
          <w:rtl/>
        </w:rPr>
      </w:pPr>
    </w:p>
    <w:p w:rsidR="00D754E2" w:rsidRDefault="00FC7885" w:rsidP="00D754E2">
      <w:pPr>
        <w:spacing w:line="360" w:lineRule="auto"/>
        <w:jc w:val="both"/>
        <w:rPr>
          <w:rFonts w:ascii="Arial" w:hAnsi="Arial"/>
          <w:rtl/>
        </w:rPr>
      </w:pPr>
      <w:r w:rsidRPr="00FC7885">
        <w:rPr>
          <w:rFonts w:ascii="Arial" w:hAnsi="Arial"/>
          <w:rtl/>
        </w:rPr>
        <w:t xml:space="preserve">בפסק דינו של בית המשפט המחוזי בפרשת </w:t>
      </w:r>
      <w:r w:rsidRPr="00FC7885">
        <w:rPr>
          <w:rFonts w:ascii="Arial" w:hAnsi="Arial"/>
          <w:b/>
          <w:bCs/>
          <w:rtl/>
        </w:rPr>
        <w:t>אבו סקיק</w:t>
      </w:r>
      <w:r w:rsidRPr="00FC7885">
        <w:rPr>
          <w:rFonts w:ascii="Arial" w:hAnsi="Arial"/>
          <w:rtl/>
        </w:rPr>
        <w:t xml:space="preserve">, אף נדחתה הטענה, כי ניתן לראות באשרור הנישואין על ידי בית הדין השרעי כנסיבה מקלה. </w:t>
      </w:r>
    </w:p>
    <w:p w:rsidR="000773A8" w:rsidRPr="00FC7885" w:rsidRDefault="000773A8" w:rsidP="00FC7885">
      <w:pPr>
        <w:spacing w:line="360" w:lineRule="auto"/>
        <w:jc w:val="both"/>
        <w:rPr>
          <w:rFonts w:ascii="Arial" w:hAnsi="Arial"/>
          <w:rtl/>
        </w:rPr>
      </w:pPr>
    </w:p>
    <w:p w:rsidR="00FC7885" w:rsidRDefault="00FC7885" w:rsidP="000773A8">
      <w:pPr>
        <w:spacing w:line="360" w:lineRule="auto"/>
        <w:jc w:val="both"/>
        <w:rPr>
          <w:rFonts w:ascii="Arial" w:hAnsi="Arial"/>
          <w:rtl/>
        </w:rPr>
      </w:pPr>
      <w:r w:rsidRPr="00FC7885">
        <w:rPr>
          <w:rFonts w:ascii="Arial" w:hAnsi="Arial" w:hint="cs"/>
          <w:rtl/>
        </w:rPr>
        <w:t>טענות אלה נדחו בעבר, על ידי כלל הערכאות ובית המשפט לא י</w:t>
      </w:r>
      <w:r w:rsidRPr="00FC7885">
        <w:rPr>
          <w:rFonts w:ascii="Arial" w:hAnsi="Arial"/>
          <w:rtl/>
        </w:rPr>
        <w:t>קבע מתחם שונה מזה שנקבע על ידי הערכאה המוסמכת, קרי, בית המשפט המחוזי, בשבתו כערכאת ערעור פלילי</w:t>
      </w:r>
      <w:r w:rsidRPr="00FC7885">
        <w:rPr>
          <w:rFonts w:ascii="Arial" w:hAnsi="Arial" w:hint="cs"/>
          <w:rtl/>
        </w:rPr>
        <w:t xml:space="preserve">, מתחם שאושר שוב בפסק הדין בפרשת </w:t>
      </w:r>
      <w:r w:rsidRPr="00FC7885">
        <w:rPr>
          <w:rFonts w:ascii="Arial" w:hAnsi="Arial" w:hint="cs"/>
          <w:b/>
          <w:bCs/>
          <w:rtl/>
        </w:rPr>
        <w:t>אבו סבילה</w:t>
      </w:r>
      <w:r w:rsidRPr="00FC7885">
        <w:rPr>
          <w:rFonts w:ascii="Arial" w:hAnsi="Arial" w:hint="cs"/>
          <w:rtl/>
        </w:rPr>
        <w:t xml:space="preserve"> שהובא לעיל.</w:t>
      </w:r>
    </w:p>
    <w:p w:rsidR="0045375F" w:rsidRDefault="0045375F" w:rsidP="00FC7885">
      <w:pPr>
        <w:spacing w:line="360" w:lineRule="auto"/>
        <w:jc w:val="both"/>
        <w:rPr>
          <w:rFonts w:ascii="Arial" w:hAnsi="Arial"/>
          <w:rtl/>
        </w:rPr>
      </w:pPr>
    </w:p>
    <w:p w:rsidR="0045375F" w:rsidRPr="0045375F" w:rsidRDefault="0045375F" w:rsidP="00FC7885">
      <w:pPr>
        <w:spacing w:line="360" w:lineRule="auto"/>
        <w:jc w:val="both"/>
        <w:rPr>
          <w:rFonts w:ascii="Arial" w:hAnsi="Arial"/>
          <w:rtl/>
        </w:rPr>
      </w:pPr>
      <w:r>
        <w:rPr>
          <w:rFonts w:ascii="Arial" w:hAnsi="Arial" w:hint="cs"/>
          <w:rtl/>
        </w:rPr>
        <w:t>כמו כן, אושר המתחם פעם נוספת</w:t>
      </w:r>
      <w:r w:rsidR="000773A8">
        <w:rPr>
          <w:rFonts w:ascii="Arial" w:hAnsi="Arial" w:hint="cs"/>
          <w:rtl/>
        </w:rPr>
        <w:t xml:space="preserve"> רק לאחרונה</w:t>
      </w:r>
      <w:r>
        <w:rPr>
          <w:rFonts w:ascii="Arial" w:hAnsi="Arial" w:hint="cs"/>
          <w:rtl/>
        </w:rPr>
        <w:t xml:space="preserve"> בעפ"ג 35636-02-24 </w:t>
      </w:r>
      <w:r>
        <w:rPr>
          <w:rFonts w:ascii="Arial" w:hAnsi="Arial" w:hint="cs"/>
          <w:b/>
          <w:bCs/>
          <w:rtl/>
        </w:rPr>
        <w:t>הנייה נ' מדינת ישראל</w:t>
      </w:r>
      <w:r>
        <w:rPr>
          <w:rFonts w:ascii="Arial" w:hAnsi="Arial" w:hint="cs"/>
          <w:rtl/>
        </w:rPr>
        <w:t xml:space="preserve"> (פורסם במאגרים </w:t>
      </w:r>
      <w:r>
        <w:rPr>
          <w:rFonts w:ascii="Arial" w:hAnsi="Arial"/>
          <w:rtl/>
        </w:rPr>
        <w:t>–</w:t>
      </w:r>
      <w:r>
        <w:rPr>
          <w:rFonts w:ascii="Arial" w:hAnsi="Arial" w:hint="cs"/>
          <w:rtl/>
        </w:rPr>
        <w:t xml:space="preserve"> ניתן ביום 29.05.24):</w:t>
      </w:r>
    </w:p>
    <w:p w:rsidR="0045375F" w:rsidRDefault="0045375F" w:rsidP="00FC7885">
      <w:pPr>
        <w:spacing w:line="360" w:lineRule="auto"/>
        <w:jc w:val="both"/>
        <w:rPr>
          <w:rFonts w:ascii="Arial" w:hAnsi="Arial"/>
          <w:rtl/>
        </w:rPr>
      </w:pPr>
    </w:p>
    <w:p w:rsidR="0045375F" w:rsidRPr="0045375F" w:rsidRDefault="0045375F" w:rsidP="00FC7885">
      <w:pPr>
        <w:spacing w:line="360" w:lineRule="auto"/>
        <w:jc w:val="both"/>
        <w:rPr>
          <w:rFonts w:ascii="David" w:hAnsi="David"/>
          <w:rtl/>
        </w:rPr>
      </w:pPr>
      <w:r w:rsidRPr="0045375F">
        <w:rPr>
          <w:rFonts w:ascii="Aharoni" w:hAnsi="Aharoni" w:cs="Aharoni"/>
          <w:rtl/>
        </w:rPr>
        <w:t xml:space="preserve">ואכן, הענישה הנהוגה בעבירת הפוליגמיה נעה בין 7 ל- 18 חודשי מאסר בפועל, </w:t>
      </w:r>
      <w:r w:rsidRPr="0045375F">
        <w:rPr>
          <w:rFonts w:ascii="Aharoni" w:hAnsi="Aharoni" w:cs="Aharoni"/>
          <w:u w:val="single"/>
          <w:rtl/>
        </w:rPr>
        <w:t>מאחורי סורג ובריח</w:t>
      </w:r>
      <w:r w:rsidRPr="0045375F">
        <w:rPr>
          <w:rFonts w:ascii="Aharoni" w:hAnsi="Aharoni" w:cs="Aharoni"/>
          <w:rtl/>
        </w:rPr>
        <w:t xml:space="preserve"> ולא בעבודות שירות (ראה והשווה - </w:t>
      </w:r>
      <w:hyperlink r:id="rId16" w:history="1">
        <w:r w:rsidRPr="0045375F">
          <w:rPr>
            <w:rFonts w:ascii="Aharoni" w:hAnsi="Aharoni" w:cs="Aharoni"/>
            <w:rtl/>
          </w:rPr>
          <w:t>רע"פ 6413/19</w:t>
        </w:r>
      </w:hyperlink>
      <w:r w:rsidRPr="0045375F">
        <w:rPr>
          <w:rFonts w:ascii="Aharoni" w:hAnsi="Aharoni" w:cs="Aharoni"/>
          <w:rtl/>
        </w:rPr>
        <w:t xml:space="preserve"> אמין אבו סקייק נ' מדינת ישראל (23.10.19)</w:t>
      </w:r>
      <w:r>
        <w:rPr>
          <w:rFonts w:ascii="Aharoni" w:hAnsi="Aharoni" w:cs="Aharoni" w:hint="cs"/>
          <w:rtl/>
        </w:rPr>
        <w:t xml:space="preserve"> </w:t>
      </w:r>
      <w:r>
        <w:rPr>
          <w:rFonts w:ascii="David" w:hAnsi="David" w:hint="cs"/>
          <w:rtl/>
        </w:rPr>
        <w:t>(ההדגשה אינה במקור).</w:t>
      </w:r>
    </w:p>
    <w:p w:rsidR="00FC7885" w:rsidRDefault="00FC7885" w:rsidP="00FC7885">
      <w:pPr>
        <w:spacing w:line="360" w:lineRule="auto"/>
        <w:jc w:val="both"/>
        <w:rPr>
          <w:rFonts w:ascii="Arial" w:hAnsi="Arial"/>
          <w:rtl/>
        </w:rPr>
      </w:pPr>
    </w:p>
    <w:p w:rsidR="00D754E2" w:rsidRDefault="00BC3D4B" w:rsidP="003C43EF">
      <w:pPr>
        <w:spacing w:line="360" w:lineRule="auto"/>
        <w:jc w:val="both"/>
        <w:rPr>
          <w:rFonts w:ascii="Arial" w:hAnsi="Arial"/>
          <w:rtl/>
        </w:rPr>
      </w:pPr>
      <w:r>
        <w:rPr>
          <w:rFonts w:ascii="Arial" w:hAnsi="Arial" w:hint="cs"/>
          <w:rtl/>
        </w:rPr>
        <w:t>אשר לטענת ההגנה בדבר כיבודה של האשה הראשונה והמשך הדאגה של הנאשם לכל מחסורה</w:t>
      </w:r>
      <w:r w:rsidR="00D754E2">
        <w:rPr>
          <w:rFonts w:ascii="Arial" w:hAnsi="Arial" w:hint="cs"/>
          <w:rtl/>
        </w:rPr>
        <w:t xml:space="preserve"> </w:t>
      </w:r>
      <w:r>
        <w:rPr>
          <w:rFonts w:ascii="Arial" w:hAnsi="Arial"/>
          <w:rtl/>
        </w:rPr>
        <w:t>–</w:t>
      </w:r>
      <w:r>
        <w:rPr>
          <w:rFonts w:ascii="Arial" w:hAnsi="Arial" w:hint="cs"/>
          <w:rtl/>
        </w:rPr>
        <w:t xml:space="preserve"> מעבר לכך שטענה זו עצמה סותרת את טענת הנאשם, כי נפרד מהאשה הראשונה (שהרי, אחרת, חוזרת היתה האשה הראשונה לבית אביה) וכן אינה עולה בקנה אחד עם טענתו, כי לא נטל אשה שניה, אחרת, מה לנאשם לציין עצמו לשבח בהמשך הדאגה לאשה הראשונה, אם ל</w:t>
      </w:r>
      <w:r w:rsidR="00FB13A3">
        <w:rPr>
          <w:rFonts w:ascii="Arial" w:hAnsi="Arial" w:hint="cs"/>
          <w:rtl/>
        </w:rPr>
        <w:t>א נישא לאשה שניה?!) מכל מקום, כב</w:t>
      </w:r>
      <w:r>
        <w:rPr>
          <w:rFonts w:ascii="Arial" w:hAnsi="Arial" w:hint="cs"/>
          <w:rtl/>
        </w:rPr>
        <w:t xml:space="preserve">ר עמדה ערכאת הערעור </w:t>
      </w:r>
      <w:r>
        <w:rPr>
          <w:rFonts w:ascii="Arial" w:hAnsi="Arial"/>
          <w:rtl/>
        </w:rPr>
        <w:t>–</w:t>
      </w:r>
      <w:r>
        <w:rPr>
          <w:rFonts w:ascii="Arial" w:hAnsi="Arial" w:hint="cs"/>
          <w:rtl/>
        </w:rPr>
        <w:t xml:space="preserve"> בית המשפט המחוזי - </w:t>
      </w:r>
      <w:r w:rsidR="00D754E2">
        <w:rPr>
          <w:rFonts w:ascii="Arial" w:hAnsi="Arial" w:hint="cs"/>
          <w:rtl/>
        </w:rPr>
        <w:t xml:space="preserve"> בפרשת אבו סקיק</w:t>
      </w:r>
      <w:r>
        <w:rPr>
          <w:rFonts w:ascii="Arial" w:hAnsi="Arial" w:hint="cs"/>
          <w:rtl/>
        </w:rPr>
        <w:t>,</w:t>
      </w:r>
      <w:r w:rsidR="00D754E2">
        <w:rPr>
          <w:rFonts w:ascii="Arial" w:hAnsi="Arial" w:hint="cs"/>
          <w:rtl/>
        </w:rPr>
        <w:t xml:space="preserve"> על השלכות הפוליגמיה </w:t>
      </w:r>
      <w:r w:rsidR="00D754E2">
        <w:rPr>
          <w:rFonts w:ascii="Arial" w:hAnsi="Arial" w:hint="cs"/>
          <w:rtl/>
        </w:rPr>
        <w:lastRenderedPageBreak/>
        <w:t>וקבע</w:t>
      </w:r>
      <w:r w:rsidR="003C43EF">
        <w:rPr>
          <w:rFonts w:ascii="Arial" w:hAnsi="Arial" w:hint="cs"/>
          <w:rtl/>
        </w:rPr>
        <w:t>ה</w:t>
      </w:r>
      <w:r w:rsidR="00D754E2">
        <w:rPr>
          <w:rFonts w:ascii="Arial" w:hAnsi="Arial" w:hint="cs"/>
          <w:rtl/>
        </w:rPr>
        <w:t xml:space="preserve">, כי העבירה </w:t>
      </w:r>
      <w:r w:rsidR="003C43EF">
        <w:rPr>
          <w:rFonts w:ascii="Arial" w:hAnsi="Arial" w:hint="cs"/>
          <w:rtl/>
        </w:rPr>
        <w:t>כשלעצמה</w:t>
      </w:r>
      <w:r w:rsidR="00D754E2">
        <w:rPr>
          <w:rFonts w:ascii="Arial" w:hAnsi="Arial" w:hint="cs"/>
          <w:rtl/>
        </w:rPr>
        <w:t xml:space="preserve"> מהווה התאכזרות כלפי האישה הראשונה, גם מבלי שיהיו לכך ביטויים פיזיים וכלכליים:</w:t>
      </w:r>
    </w:p>
    <w:p w:rsidR="00D754E2" w:rsidRDefault="00D754E2" w:rsidP="00D754E2">
      <w:pPr>
        <w:spacing w:line="360" w:lineRule="auto"/>
        <w:jc w:val="both"/>
        <w:rPr>
          <w:rFonts w:ascii="Arial" w:hAnsi="Arial"/>
          <w:rtl/>
        </w:rPr>
      </w:pPr>
    </w:p>
    <w:p w:rsidR="003C43EF" w:rsidRDefault="00D754E2" w:rsidP="00D754E2">
      <w:pPr>
        <w:autoSpaceDE w:val="0"/>
        <w:autoSpaceDN w:val="0"/>
        <w:adjustRightInd w:val="0"/>
        <w:spacing w:line="360" w:lineRule="auto"/>
        <w:jc w:val="both"/>
        <w:rPr>
          <w:rFonts w:ascii="Aharoni" w:hAnsi="Aharoni" w:cs="Aharoni"/>
          <w:noProof w:val="0"/>
          <w:rtl/>
        </w:rPr>
      </w:pPr>
      <w:r w:rsidRPr="00D754E2">
        <w:rPr>
          <w:rFonts w:ascii="Aharoni" w:hAnsi="Aharoni" w:cs="Aharoni"/>
          <w:noProof w:val="0"/>
          <w:rtl/>
        </w:rPr>
        <w:t xml:space="preserve">ויודגש, כי חומרת הפגיעה של הפוליגמיה בנשים אינה מחייבת עבירות ותופעות נלוות כמו אלו המפורטות בהנחית היועמ"ש, והפגיעה בנשים קיימת גם כאשר </w:t>
      </w:r>
      <w:r w:rsidRPr="00D754E2">
        <w:rPr>
          <w:rFonts w:ascii="Aharoni" w:hAnsi="Aharoni" w:cs="Aharoni"/>
          <w:noProof w:val="0"/>
          <w:u w:val="single"/>
          <w:rtl/>
        </w:rPr>
        <w:t>אין מצוקה כלכלית</w:t>
      </w:r>
      <w:r w:rsidRPr="00D754E2">
        <w:rPr>
          <w:rFonts w:ascii="Aharoni" w:hAnsi="Aharoni" w:cs="Aharoni"/>
          <w:noProof w:val="0"/>
          <w:rtl/>
        </w:rPr>
        <w:t xml:space="preserve"> (כמו הנטען במקרה שבפנינו) או אלימות פיזית הנלווית לפוליגמיה. לכשעצמי, עצם הנישואין השניים יש בהם משום </w:t>
      </w:r>
      <w:r w:rsidRPr="00D754E2">
        <w:rPr>
          <w:rFonts w:ascii="Aharoni" w:hAnsi="Aharoni" w:cs="Aharoni"/>
          <w:noProof w:val="0"/>
          <w:u w:val="single"/>
          <w:rtl/>
        </w:rPr>
        <w:t>התאכזרות לנשים</w:t>
      </w:r>
      <w:r w:rsidRPr="00D754E2">
        <w:rPr>
          <w:rFonts w:ascii="Aharoni" w:hAnsi="Aharoni" w:cs="Aharoni"/>
          <w:noProof w:val="0"/>
          <w:rtl/>
        </w:rPr>
        <w:t xml:space="preserve"> (</w:t>
      </w:r>
      <w:r w:rsidRPr="00D754E2">
        <w:rPr>
          <w:rFonts w:ascii="Aharoni" w:hAnsi="Aharoni" w:cs="Aharoni"/>
          <w:noProof w:val="0"/>
          <w:u w:val="single"/>
          <w:rtl/>
        </w:rPr>
        <w:t>ובעיקר לאישה הראשונה</w:t>
      </w:r>
      <w:r w:rsidRPr="00D754E2">
        <w:rPr>
          <w:rFonts w:ascii="Aharoni" w:hAnsi="Aharoni" w:cs="Aharoni"/>
          <w:noProof w:val="0"/>
          <w:rtl/>
        </w:rPr>
        <w:t xml:space="preserve">) ולילדיהן, גם אם אכזריות זו </w:t>
      </w:r>
      <w:r w:rsidRPr="00D754E2">
        <w:rPr>
          <w:rFonts w:ascii="Aharoni" w:hAnsi="Aharoni" w:cs="Aharoni"/>
          <w:noProof w:val="0"/>
          <w:u w:val="single"/>
          <w:rtl/>
        </w:rPr>
        <w:t>אינה מקבלת ביטוי פיזי או כלכלי</w:t>
      </w:r>
      <w:r w:rsidRPr="00D754E2">
        <w:rPr>
          <w:rFonts w:ascii="Aharoni" w:hAnsi="Aharoni" w:cs="Aharoni"/>
          <w:noProof w:val="0"/>
          <w:rtl/>
        </w:rPr>
        <w:t xml:space="preserve">. </w:t>
      </w:r>
      <w:r>
        <w:rPr>
          <w:rFonts w:ascii="Aharoni" w:hAnsi="Aharoni" w:cs="Aharoni" w:hint="cs"/>
          <w:noProof w:val="0"/>
          <w:rtl/>
        </w:rPr>
        <w:t xml:space="preserve"> </w:t>
      </w:r>
    </w:p>
    <w:p w:rsidR="00D754E2" w:rsidRPr="00D754E2" w:rsidRDefault="00D754E2" w:rsidP="00D754E2">
      <w:pPr>
        <w:autoSpaceDE w:val="0"/>
        <w:autoSpaceDN w:val="0"/>
        <w:adjustRightInd w:val="0"/>
        <w:spacing w:line="360" w:lineRule="auto"/>
        <w:jc w:val="both"/>
        <w:rPr>
          <w:rFonts w:ascii="David" w:hAnsi="David"/>
          <w:noProof w:val="0"/>
          <w:rtl/>
        </w:rPr>
      </w:pPr>
      <w:r>
        <w:rPr>
          <w:rFonts w:ascii="David" w:hAnsi="David" w:hint="cs"/>
          <w:noProof w:val="0"/>
          <w:rtl/>
        </w:rPr>
        <w:t>(ההדגשות אינן במקור)</w:t>
      </w:r>
      <w:r w:rsidR="003C43EF">
        <w:rPr>
          <w:rFonts w:ascii="David" w:hAnsi="David" w:hint="cs"/>
          <w:noProof w:val="0"/>
          <w:rtl/>
        </w:rPr>
        <w:t>.</w:t>
      </w:r>
    </w:p>
    <w:p w:rsidR="00D754E2" w:rsidRDefault="00D754E2" w:rsidP="00D754E2">
      <w:pPr>
        <w:spacing w:line="360" w:lineRule="auto"/>
        <w:jc w:val="both"/>
        <w:rPr>
          <w:rFonts w:ascii="Arial" w:hAnsi="Arial"/>
          <w:rtl/>
        </w:rPr>
      </w:pPr>
    </w:p>
    <w:p w:rsidR="00D754E2" w:rsidRDefault="00D754E2" w:rsidP="00D754E2">
      <w:pPr>
        <w:spacing w:line="360" w:lineRule="auto"/>
        <w:jc w:val="both"/>
        <w:rPr>
          <w:rFonts w:ascii="Arial" w:hAnsi="Arial"/>
          <w:rtl/>
        </w:rPr>
      </w:pPr>
      <w:r>
        <w:rPr>
          <w:rFonts w:ascii="Arial" w:hAnsi="Arial" w:hint="cs"/>
          <w:rtl/>
        </w:rPr>
        <w:t xml:space="preserve">בית המשפט מוצא להתייחס לפסיקה שהובאה מטעם ההגנה לתימוכין בעתירתה </w:t>
      </w:r>
      <w:r w:rsidRPr="00455245">
        <w:rPr>
          <w:rFonts w:ascii="Arial" w:hAnsi="Arial" w:hint="cs"/>
          <w:u w:val="single"/>
          <w:rtl/>
        </w:rPr>
        <w:t>לעונש שירוצה בדרך של עבודות שירות</w:t>
      </w:r>
      <w:r>
        <w:rPr>
          <w:rFonts w:ascii="Arial" w:hAnsi="Arial" w:hint="cs"/>
          <w:rtl/>
        </w:rPr>
        <w:t>:</w:t>
      </w:r>
    </w:p>
    <w:p w:rsidR="00D754E2" w:rsidRDefault="00D754E2" w:rsidP="00D754E2">
      <w:pPr>
        <w:spacing w:line="360" w:lineRule="auto"/>
        <w:jc w:val="both"/>
        <w:rPr>
          <w:rFonts w:ascii="Arial" w:hAnsi="Arial"/>
          <w:rtl/>
        </w:rPr>
      </w:pPr>
    </w:p>
    <w:p w:rsidR="00D754E2" w:rsidRDefault="00D754E2" w:rsidP="00D754E2">
      <w:pPr>
        <w:spacing w:line="360" w:lineRule="auto"/>
        <w:jc w:val="both"/>
        <w:rPr>
          <w:rFonts w:ascii="Arial" w:hAnsi="Arial"/>
          <w:rtl/>
        </w:rPr>
      </w:pPr>
      <w:r w:rsidRPr="00D754E2">
        <w:rPr>
          <w:rFonts w:ascii="Arial" w:hAnsi="Arial" w:hint="cs"/>
          <w:rtl/>
        </w:rPr>
        <w:t xml:space="preserve">ההגנה הפנתה לת"פ </w:t>
      </w:r>
      <w:r w:rsidRPr="00D754E2">
        <w:rPr>
          <w:rFonts w:ascii="Arial" w:hAnsi="Arial"/>
          <w:rtl/>
        </w:rPr>
        <w:t xml:space="preserve">24591-10-13 </w:t>
      </w:r>
      <w:r w:rsidRPr="00D754E2">
        <w:rPr>
          <w:rFonts w:ascii="Arial" w:hAnsi="Arial" w:hint="cs"/>
          <w:b/>
          <w:bCs/>
          <w:rtl/>
        </w:rPr>
        <w:t xml:space="preserve">מדינת ישראל נ' </w:t>
      </w:r>
      <w:r w:rsidRPr="00D754E2">
        <w:rPr>
          <w:rFonts w:ascii="Arial" w:hAnsi="Arial"/>
          <w:b/>
          <w:bCs/>
          <w:rtl/>
        </w:rPr>
        <w:t>ח</w:t>
      </w:r>
      <w:r w:rsidR="003C43EF">
        <w:rPr>
          <w:rFonts w:ascii="Arial" w:hAnsi="Arial" w:hint="cs"/>
          <w:b/>
          <w:bCs/>
          <w:rtl/>
        </w:rPr>
        <w:t>א</w:t>
      </w:r>
      <w:r w:rsidRPr="00D754E2">
        <w:rPr>
          <w:rFonts w:ascii="Arial" w:hAnsi="Arial"/>
          <w:b/>
          <w:bCs/>
          <w:rtl/>
        </w:rPr>
        <w:t>ג</w:t>
      </w:r>
      <w:r w:rsidR="003C43EF">
        <w:rPr>
          <w:rFonts w:ascii="Arial" w:hAnsi="Arial" w:hint="cs"/>
          <w:b/>
          <w:bCs/>
          <w:rtl/>
        </w:rPr>
        <w:t>'</w:t>
      </w:r>
      <w:r w:rsidRPr="00D754E2">
        <w:rPr>
          <w:rFonts w:ascii="Arial" w:hAnsi="Arial"/>
          <w:b/>
          <w:bCs/>
          <w:rtl/>
        </w:rPr>
        <w:t xml:space="preserve"> יחיא</w:t>
      </w:r>
      <w:r w:rsidRPr="00D754E2">
        <w:rPr>
          <w:rFonts w:ascii="Arial" w:hAnsi="Arial" w:hint="cs"/>
          <w:rtl/>
        </w:rPr>
        <w:t xml:space="preserve"> (פורסם במאגרים), שם, דובר על מי שנישא לאשתו השניה בשנת 2009 ונגזרה עליו ענישה צופה פני עתיד. עניין זה אינו רלוונטי לענייננו, </w:t>
      </w:r>
      <w:r>
        <w:rPr>
          <w:rFonts w:ascii="Arial" w:hAnsi="Arial" w:hint="cs"/>
          <w:rtl/>
        </w:rPr>
        <w:t>שכן, מדובר בעבירה שנעברה כ-8 שנים טרם פרסום הנחיית היועץ המשפטי לממשלה 4.1112, מיום 23.01.2017 (להלן: "ההנחיה") בה נקבע:</w:t>
      </w:r>
    </w:p>
    <w:p w:rsidR="00D754E2" w:rsidRDefault="00D754E2" w:rsidP="00D754E2">
      <w:pPr>
        <w:spacing w:line="360" w:lineRule="auto"/>
        <w:jc w:val="both"/>
        <w:rPr>
          <w:rFonts w:ascii="Arial" w:hAnsi="Arial"/>
          <w:rtl/>
        </w:rPr>
      </w:pPr>
    </w:p>
    <w:p w:rsidR="00D754E2" w:rsidRDefault="00D754E2" w:rsidP="00D754E2">
      <w:pPr>
        <w:spacing w:line="360" w:lineRule="auto"/>
        <w:jc w:val="both"/>
        <w:rPr>
          <w:rFonts w:ascii="Arial" w:hAnsi="Arial"/>
          <w:rtl/>
        </w:rPr>
      </w:pPr>
      <w:r w:rsidRPr="00D754E2">
        <w:rPr>
          <w:rFonts w:ascii="Arial" w:hAnsi="Arial"/>
          <w:rtl/>
        </w:rPr>
        <w:drawing>
          <wp:inline distT="0" distB="0" distL="0" distR="0" wp14:anchorId="6D07F51F" wp14:editId="5AC60B5A">
            <wp:extent cx="5017822" cy="1216549"/>
            <wp:effectExtent l="0" t="0" r="0" b="317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60357" cy="1226861"/>
                    </a:xfrm>
                    <a:prstGeom prst="rect">
                      <a:avLst/>
                    </a:prstGeom>
                  </pic:spPr>
                </pic:pic>
              </a:graphicData>
            </a:graphic>
          </wp:inline>
        </w:drawing>
      </w:r>
    </w:p>
    <w:p w:rsidR="00D754E2" w:rsidRDefault="00D754E2" w:rsidP="00D754E2">
      <w:pPr>
        <w:spacing w:line="360" w:lineRule="auto"/>
        <w:jc w:val="both"/>
        <w:rPr>
          <w:rFonts w:ascii="Arial" w:hAnsi="Arial"/>
          <w:rtl/>
        </w:rPr>
      </w:pPr>
    </w:p>
    <w:p w:rsidR="00670BAD" w:rsidRDefault="00D754E2" w:rsidP="00670BAD">
      <w:pPr>
        <w:spacing w:line="360" w:lineRule="auto"/>
        <w:jc w:val="both"/>
        <w:rPr>
          <w:rFonts w:ascii="Arial" w:hAnsi="Arial"/>
          <w:rtl/>
        </w:rPr>
      </w:pPr>
      <w:r>
        <w:rPr>
          <w:rFonts w:ascii="Arial" w:hAnsi="Arial" w:hint="cs"/>
          <w:rtl/>
        </w:rPr>
        <w:t xml:space="preserve">ההגנה הפנתה גם לת"פ </w:t>
      </w:r>
      <w:r w:rsidRPr="00D754E2">
        <w:rPr>
          <w:rFonts w:ascii="Arial" w:hAnsi="Arial"/>
          <w:rtl/>
        </w:rPr>
        <w:t>10234-12-18</w:t>
      </w:r>
      <w:r>
        <w:rPr>
          <w:rFonts w:ascii="Arial" w:hAnsi="Arial" w:hint="cs"/>
          <w:rtl/>
        </w:rPr>
        <w:t xml:space="preserve"> </w:t>
      </w:r>
      <w:r>
        <w:rPr>
          <w:rFonts w:ascii="Arial" w:hAnsi="Arial" w:hint="cs"/>
          <w:b/>
          <w:bCs/>
          <w:rtl/>
        </w:rPr>
        <w:t>מדינת ישראל נ' חגאזי</w:t>
      </w:r>
      <w:r>
        <w:rPr>
          <w:rFonts w:ascii="Arial" w:hAnsi="Arial" w:hint="cs"/>
          <w:rtl/>
        </w:rPr>
        <w:t xml:space="preserve"> (פורסם במאגרים), שם דובר על מי שנישא לאשתו השניה בשנת 2015, כשנתיים בטרם פורסמה ההנחייה וכתב האישום הוגש בשיהוי ניכר של מספר שנים. על כן, הוטלו על הנאשם 5 חודשי מאסר לריצוי בדרך של עבודות שירות.</w:t>
      </w:r>
      <w:r w:rsidR="00670BAD">
        <w:rPr>
          <w:rFonts w:ascii="Arial" w:hAnsi="Arial" w:hint="cs"/>
          <w:rtl/>
        </w:rPr>
        <w:t xml:space="preserve"> גם בתיק ת"פ 17055-05-20 </w:t>
      </w:r>
      <w:r w:rsidR="00670BAD">
        <w:rPr>
          <w:rFonts w:ascii="Arial" w:hAnsi="Arial" w:hint="cs"/>
          <w:b/>
          <w:bCs/>
          <w:rtl/>
        </w:rPr>
        <w:t>מדינת ישראל נ' סוב לבן</w:t>
      </w:r>
      <w:r w:rsidR="00670BAD">
        <w:rPr>
          <w:rFonts w:ascii="Arial" w:hAnsi="Arial" w:hint="cs"/>
          <w:rtl/>
        </w:rPr>
        <w:t xml:space="preserve"> (פורסם במאגרים) מדובר במי שנישא לאשתו השניה בשנת 2012, וכתב האישום הוגש בשיהוי ניכר בשנת 2020, כך שעל הנאשם הוטלו 4 חודשי מאסר לריצוי בדרך של עבודות שירות.</w:t>
      </w:r>
    </w:p>
    <w:p w:rsidR="00670BAD" w:rsidRDefault="00670BAD" w:rsidP="00670BAD">
      <w:pPr>
        <w:spacing w:line="360" w:lineRule="auto"/>
        <w:jc w:val="both"/>
        <w:rPr>
          <w:rFonts w:ascii="Arial" w:hAnsi="Arial"/>
          <w:rtl/>
        </w:rPr>
      </w:pPr>
    </w:p>
    <w:p w:rsidR="00670BAD" w:rsidRDefault="00670BAD" w:rsidP="00670BAD">
      <w:pPr>
        <w:spacing w:line="360" w:lineRule="auto"/>
        <w:jc w:val="both"/>
        <w:rPr>
          <w:rFonts w:ascii="Arial" w:hAnsi="Arial"/>
          <w:rtl/>
        </w:rPr>
      </w:pPr>
      <w:r>
        <w:rPr>
          <w:rFonts w:ascii="Arial" w:hAnsi="Arial" w:hint="cs"/>
          <w:rtl/>
        </w:rPr>
        <w:t>ההגנה הפנתה לשני גזרי דין נוספים, מהעת האחרונה, מבית משפט השלום בבאר שבע, אליהם מצא בית המשפט להידרש במיוחד.</w:t>
      </w:r>
    </w:p>
    <w:p w:rsidR="00670BAD" w:rsidRDefault="00670BAD" w:rsidP="00670BAD">
      <w:pPr>
        <w:spacing w:line="360" w:lineRule="auto"/>
        <w:jc w:val="both"/>
        <w:rPr>
          <w:rFonts w:ascii="Arial" w:hAnsi="Arial"/>
          <w:rtl/>
        </w:rPr>
      </w:pPr>
    </w:p>
    <w:p w:rsidR="00670BAD" w:rsidRPr="00670BAD" w:rsidRDefault="003C43EF" w:rsidP="003C43EF">
      <w:pPr>
        <w:spacing w:line="360" w:lineRule="auto"/>
        <w:jc w:val="both"/>
        <w:rPr>
          <w:rFonts w:ascii="Arial" w:hAnsi="Arial"/>
          <w:rtl/>
        </w:rPr>
      </w:pPr>
      <w:r>
        <w:rPr>
          <w:rFonts w:ascii="Arial" w:hAnsi="Arial" w:hint="cs"/>
          <w:rtl/>
        </w:rPr>
        <w:t xml:space="preserve">הראשון </w:t>
      </w:r>
      <w:r>
        <w:rPr>
          <w:rFonts w:ascii="Arial" w:hAnsi="Arial"/>
          <w:rtl/>
        </w:rPr>
        <w:t>–</w:t>
      </w:r>
      <w:r>
        <w:rPr>
          <w:rFonts w:ascii="Arial" w:hAnsi="Arial" w:hint="cs"/>
          <w:rtl/>
        </w:rPr>
        <w:t xml:space="preserve"> גזר הדין</w:t>
      </w:r>
      <w:r w:rsidR="00670BAD">
        <w:rPr>
          <w:rFonts w:ascii="Arial" w:hAnsi="Arial" w:hint="cs"/>
          <w:rtl/>
        </w:rPr>
        <w:t xml:space="preserve"> ת"פ </w:t>
      </w:r>
      <w:r w:rsidR="00670BAD" w:rsidRPr="00670BAD">
        <w:rPr>
          <w:rFonts w:ascii="Arial" w:hAnsi="Arial"/>
          <w:rtl/>
        </w:rPr>
        <w:t>44624-01-20</w:t>
      </w:r>
      <w:r w:rsidR="00670BAD">
        <w:rPr>
          <w:rFonts w:ascii="Arial" w:hAnsi="Arial" w:hint="cs"/>
          <w:rtl/>
        </w:rPr>
        <w:t xml:space="preserve"> </w:t>
      </w:r>
      <w:r w:rsidR="00670BAD">
        <w:rPr>
          <w:rFonts w:ascii="Arial" w:hAnsi="Arial" w:hint="cs"/>
          <w:b/>
          <w:bCs/>
          <w:rtl/>
        </w:rPr>
        <w:t>מדינת ישראל נ' עודה</w:t>
      </w:r>
      <w:r w:rsidR="00670BAD">
        <w:rPr>
          <w:rFonts w:ascii="Arial" w:hAnsi="Arial" w:hint="cs"/>
          <w:rtl/>
        </w:rPr>
        <w:t xml:space="preserve"> (פורסם במאגרים) </w:t>
      </w:r>
      <w:r w:rsidR="00670BAD">
        <w:rPr>
          <w:rFonts w:ascii="Arial" w:hAnsi="Arial"/>
          <w:rtl/>
        </w:rPr>
        <w:t>–</w:t>
      </w:r>
      <w:r w:rsidR="00670BAD">
        <w:rPr>
          <w:rFonts w:ascii="Arial" w:hAnsi="Arial" w:hint="cs"/>
          <w:rtl/>
        </w:rPr>
        <w:t xml:space="preserve"> ביום 09.09.17, נישא הנאשם לאשה שניה, בעודו נשוי לאישה אחרת. הנאשם הורשע על פי הודאתו ובית משפט השלום קבע מתחם ענישה הנע בין 7 חודשי מאסר אשר יכול שירוצו בדרך של עבודות שירות ועד 18 חודשי מאסר. על הנאשם נגזרו 8 חודשי מאסר לריצוי בדרך של עבודות שירות לצד ענישה נלווית. אלא, </w:t>
      </w:r>
      <w:r>
        <w:rPr>
          <w:rFonts w:ascii="Arial" w:hAnsi="Arial" w:hint="cs"/>
          <w:rtl/>
        </w:rPr>
        <w:t>שלא צוין מפי ההגנה</w:t>
      </w:r>
      <w:r w:rsidR="00670BAD">
        <w:rPr>
          <w:rFonts w:ascii="Arial" w:hAnsi="Arial" w:hint="cs"/>
          <w:rtl/>
        </w:rPr>
        <w:t xml:space="preserve">, כי על גזר הדין הוגשו הן ערעור הנאשם על חומרת העונש והן ערעור המאשימה על קולת העונש (ראו עפ"ג </w:t>
      </w:r>
      <w:r w:rsidR="00670BAD" w:rsidRPr="00670BAD">
        <w:rPr>
          <w:rFonts w:ascii="Arial" w:hAnsi="Arial"/>
          <w:rtl/>
        </w:rPr>
        <w:t>17195-07-22</w:t>
      </w:r>
      <w:r w:rsidR="00670BAD">
        <w:rPr>
          <w:rFonts w:ascii="Arial" w:hAnsi="Arial" w:hint="cs"/>
          <w:rtl/>
        </w:rPr>
        <w:t xml:space="preserve"> </w:t>
      </w:r>
      <w:r w:rsidR="00670BAD">
        <w:rPr>
          <w:rFonts w:ascii="Arial" w:hAnsi="Arial" w:hint="cs"/>
          <w:b/>
          <w:bCs/>
          <w:rtl/>
        </w:rPr>
        <w:t>עודה נ' מדינת ישראל</w:t>
      </w:r>
      <w:r w:rsidR="00670BAD">
        <w:rPr>
          <w:rFonts w:ascii="Arial" w:hAnsi="Arial" w:hint="cs"/>
          <w:rtl/>
        </w:rPr>
        <w:t xml:space="preserve"> וכן עפ"ג 5339-07-22 </w:t>
      </w:r>
      <w:r w:rsidR="00670BAD">
        <w:rPr>
          <w:rFonts w:ascii="Arial" w:hAnsi="Arial" w:hint="cs"/>
          <w:b/>
          <w:bCs/>
          <w:rtl/>
        </w:rPr>
        <w:t>מדינת ישראל נ' עודה</w:t>
      </w:r>
      <w:r w:rsidR="00670BAD">
        <w:rPr>
          <w:rFonts w:ascii="Arial" w:hAnsi="Arial" w:hint="cs"/>
          <w:rtl/>
        </w:rPr>
        <w:t xml:space="preserve">). במסגרת הערעור, </w:t>
      </w:r>
      <w:r>
        <w:rPr>
          <w:rFonts w:ascii="Arial" w:hAnsi="Arial" w:hint="cs"/>
          <w:rtl/>
        </w:rPr>
        <w:t xml:space="preserve">הוחמר העונש </w:t>
      </w:r>
      <w:r w:rsidRPr="003C43EF">
        <w:rPr>
          <w:rFonts w:ascii="Arial" w:hAnsi="Arial" w:hint="cs"/>
          <w:u w:val="single"/>
          <w:rtl/>
        </w:rPr>
        <w:t>למאסר</w:t>
      </w:r>
      <w:r w:rsidR="00670BAD" w:rsidRPr="003C43EF">
        <w:rPr>
          <w:rFonts w:ascii="Arial" w:hAnsi="Arial" w:hint="cs"/>
          <w:u w:val="single"/>
          <w:rtl/>
        </w:rPr>
        <w:t xml:space="preserve"> בכליאה</w:t>
      </w:r>
      <w:r w:rsidR="00670BAD" w:rsidRPr="00455245">
        <w:rPr>
          <w:rFonts w:ascii="Arial" w:hAnsi="Arial" w:hint="cs"/>
          <w:u w:val="single"/>
          <w:rtl/>
        </w:rPr>
        <w:t xml:space="preserve"> ממשית מאחורי סורג ובריח</w:t>
      </w:r>
      <w:r>
        <w:rPr>
          <w:rFonts w:ascii="Arial" w:hAnsi="Arial" w:hint="cs"/>
          <w:rtl/>
        </w:rPr>
        <w:t>, אם גם קוצר אורכו.</w:t>
      </w:r>
    </w:p>
    <w:p w:rsidR="00D754E2" w:rsidRDefault="00D754E2" w:rsidP="00D754E2">
      <w:pPr>
        <w:spacing w:line="360" w:lineRule="auto"/>
        <w:jc w:val="both"/>
        <w:rPr>
          <w:rFonts w:ascii="Arial" w:hAnsi="Arial"/>
          <w:rtl/>
        </w:rPr>
      </w:pPr>
    </w:p>
    <w:p w:rsidR="00D754E2" w:rsidRPr="00455245" w:rsidRDefault="00455245" w:rsidP="003C43EF">
      <w:pPr>
        <w:spacing w:line="360" w:lineRule="auto"/>
        <w:jc w:val="both"/>
        <w:rPr>
          <w:rFonts w:ascii="Arial" w:hAnsi="Arial"/>
          <w:rtl/>
        </w:rPr>
      </w:pPr>
      <w:r>
        <w:rPr>
          <w:rFonts w:ascii="Arial" w:hAnsi="Arial" w:hint="cs"/>
          <w:rtl/>
        </w:rPr>
        <w:t xml:space="preserve">עוד הפנתה ההגנה לתיק ת"פ </w:t>
      </w:r>
      <w:r w:rsidRPr="00455245">
        <w:rPr>
          <w:rFonts w:ascii="Arial" w:hAnsi="Arial"/>
          <w:rtl/>
        </w:rPr>
        <w:t>10823-</w:t>
      </w:r>
      <w:r>
        <w:rPr>
          <w:rFonts w:ascii="Arial" w:hAnsi="Arial" w:hint="cs"/>
          <w:rtl/>
        </w:rPr>
        <w:t>02</w:t>
      </w:r>
      <w:r w:rsidRPr="00455245">
        <w:rPr>
          <w:rFonts w:ascii="Arial" w:hAnsi="Arial"/>
          <w:rtl/>
        </w:rPr>
        <w:t>-18</w:t>
      </w:r>
      <w:r>
        <w:rPr>
          <w:rFonts w:ascii="Arial" w:hAnsi="Arial" w:hint="cs"/>
          <w:rtl/>
        </w:rPr>
        <w:t xml:space="preserve"> </w:t>
      </w:r>
      <w:r>
        <w:rPr>
          <w:rFonts w:ascii="Arial" w:hAnsi="Arial" w:hint="cs"/>
          <w:b/>
          <w:bCs/>
          <w:rtl/>
        </w:rPr>
        <w:t>מדינת ישראל נ' אלעתמין</w:t>
      </w:r>
      <w:r>
        <w:rPr>
          <w:rFonts w:ascii="Arial" w:hAnsi="Arial" w:hint="cs"/>
          <w:rtl/>
        </w:rPr>
        <w:t xml:space="preserve"> (פורסם במאגרים), שם הנאשם הורשע</w:t>
      </w:r>
      <w:r w:rsidR="003C43EF">
        <w:rPr>
          <w:rFonts w:ascii="Arial" w:hAnsi="Arial" w:hint="cs"/>
          <w:rtl/>
        </w:rPr>
        <w:t>,</w:t>
      </w:r>
      <w:r>
        <w:rPr>
          <w:rFonts w:ascii="Arial" w:hAnsi="Arial" w:hint="cs"/>
          <w:rtl/>
        </w:rPr>
        <w:t xml:space="preserve"> על פי הודאתו, בכך שבעודו נשוי, נישא לאישה השניה ביום 25.04.17. מותב זה קבע מתחם ענישה הנע בין 7 ועד 18 חודשי מאסר בפועל. לאור נסיבות חריגות וקשות הקשורות בנאשם ובילדיו, הסובלים ממצב בריאותי קשה, הטיל מותב זה ענישה לריצוי בדרך של עבודות שירות, כך שיתאפשר לנאשם להמשיך</w:t>
      </w:r>
      <w:r w:rsidR="003C43EF">
        <w:rPr>
          <w:rFonts w:ascii="Arial" w:hAnsi="Arial" w:hint="cs"/>
          <w:rtl/>
        </w:rPr>
        <w:t xml:space="preserve"> לטפל בילדיו החולים. אלא, שגם כאן</w:t>
      </w:r>
      <w:r>
        <w:rPr>
          <w:rFonts w:ascii="Arial" w:hAnsi="Arial" w:hint="cs"/>
          <w:rtl/>
        </w:rPr>
        <w:t xml:space="preserve"> </w:t>
      </w:r>
      <w:r w:rsidR="003C43EF">
        <w:rPr>
          <w:rFonts w:ascii="Arial" w:hAnsi="Arial" w:hint="cs"/>
          <w:rtl/>
        </w:rPr>
        <w:t>נשמטה בטיעוני ההגנה העובדה,</w:t>
      </w:r>
      <w:r>
        <w:rPr>
          <w:rFonts w:ascii="Arial" w:hAnsi="Arial" w:hint="cs"/>
          <w:rtl/>
        </w:rPr>
        <w:t xml:space="preserve">, כי הוגש ערעור המדינה על גזר הדין, ועונשו של הנאשם </w:t>
      </w:r>
      <w:r w:rsidRPr="00455245">
        <w:rPr>
          <w:rFonts w:ascii="Arial" w:hAnsi="Arial" w:hint="cs"/>
          <w:u w:val="single"/>
          <w:rtl/>
        </w:rPr>
        <w:t>הו</w:t>
      </w:r>
      <w:r w:rsidR="003C43EF">
        <w:rPr>
          <w:rFonts w:ascii="Arial" w:hAnsi="Arial" w:hint="cs"/>
          <w:u w:val="single"/>
          <w:rtl/>
        </w:rPr>
        <w:t>ח</w:t>
      </w:r>
      <w:r w:rsidRPr="00455245">
        <w:rPr>
          <w:rFonts w:ascii="Arial" w:hAnsi="Arial" w:hint="cs"/>
          <w:u w:val="single"/>
          <w:rtl/>
        </w:rPr>
        <w:t>מר ל</w:t>
      </w:r>
      <w:r w:rsidR="003C43EF">
        <w:rPr>
          <w:rFonts w:ascii="Arial" w:hAnsi="Arial" w:hint="cs"/>
          <w:u w:val="single"/>
          <w:rtl/>
        </w:rPr>
        <w:t>מאסר בפועל ל</w:t>
      </w:r>
      <w:r>
        <w:rPr>
          <w:rFonts w:ascii="Arial" w:hAnsi="Arial" w:hint="cs"/>
          <w:u w:val="single"/>
          <w:rtl/>
        </w:rPr>
        <w:t xml:space="preserve">ריצוי </w:t>
      </w:r>
      <w:r w:rsidR="003C43EF">
        <w:rPr>
          <w:rFonts w:ascii="Arial" w:hAnsi="Arial" w:hint="cs"/>
          <w:u w:val="single"/>
          <w:rtl/>
        </w:rPr>
        <w:t>ב</w:t>
      </w:r>
      <w:r w:rsidRPr="00455245">
        <w:rPr>
          <w:rFonts w:ascii="Arial" w:hAnsi="Arial" w:hint="cs"/>
          <w:u w:val="single"/>
          <w:rtl/>
        </w:rPr>
        <w:t>כליאה ממשית</w:t>
      </w:r>
      <w:r>
        <w:rPr>
          <w:rFonts w:ascii="Arial" w:hAnsi="Arial" w:hint="cs"/>
          <w:rtl/>
        </w:rPr>
        <w:t xml:space="preserve">, תוך שעונשו הוקל מעט לאור המצב הבריאותי החריג של ילדיו (ראו עפ"ג </w:t>
      </w:r>
      <w:r w:rsidRPr="00455245">
        <w:rPr>
          <w:rFonts w:ascii="Arial" w:hAnsi="Arial"/>
          <w:rtl/>
        </w:rPr>
        <w:t>10875-04-20</w:t>
      </w:r>
      <w:r>
        <w:rPr>
          <w:rFonts w:ascii="Arial" w:hAnsi="Arial" w:hint="cs"/>
          <w:rtl/>
        </w:rPr>
        <w:t xml:space="preserve"> </w:t>
      </w:r>
      <w:r>
        <w:rPr>
          <w:rFonts w:ascii="Arial" w:hAnsi="Arial" w:hint="cs"/>
          <w:b/>
          <w:bCs/>
          <w:rtl/>
        </w:rPr>
        <w:t>מדינת ישראל נ' אלעתמין</w:t>
      </w:r>
      <w:r>
        <w:rPr>
          <w:rFonts w:ascii="Arial" w:hAnsi="Arial" w:hint="cs"/>
          <w:rtl/>
        </w:rPr>
        <w:t>).</w:t>
      </w:r>
    </w:p>
    <w:p w:rsidR="00455245" w:rsidRDefault="00455245" w:rsidP="00455245">
      <w:pPr>
        <w:spacing w:line="360" w:lineRule="auto"/>
        <w:jc w:val="both"/>
        <w:rPr>
          <w:rFonts w:ascii="Arial" w:hAnsi="Arial"/>
          <w:rtl/>
        </w:rPr>
      </w:pPr>
    </w:p>
    <w:p w:rsidR="00075C26" w:rsidRDefault="003C43EF" w:rsidP="003C43EF">
      <w:pPr>
        <w:spacing w:line="360" w:lineRule="auto"/>
        <w:jc w:val="both"/>
        <w:rPr>
          <w:rFonts w:ascii="Arial" w:hAnsi="Arial"/>
          <w:rtl/>
        </w:rPr>
      </w:pPr>
      <w:r>
        <w:rPr>
          <w:rFonts w:ascii="Arial" w:hAnsi="Arial" w:hint="cs"/>
          <w:rtl/>
        </w:rPr>
        <w:t xml:space="preserve">התנהלות זו מצד ההגנה, שבית המשפט יבקש להניח, לטובתה, כי נבעה מאי-בדיקת הדברים ולא בכוונה להטעות, </w:t>
      </w:r>
      <w:r w:rsidR="007C014F">
        <w:rPr>
          <w:rFonts w:ascii="Arial" w:hAnsi="Arial" w:hint="cs"/>
          <w:rtl/>
        </w:rPr>
        <w:t>אינה הולמת ולא היה לה מקום.</w:t>
      </w:r>
    </w:p>
    <w:p w:rsidR="00075C26" w:rsidRDefault="00075C26" w:rsidP="00D754E2">
      <w:pPr>
        <w:spacing w:line="360" w:lineRule="auto"/>
        <w:jc w:val="both"/>
        <w:rPr>
          <w:rFonts w:ascii="Arial" w:hAnsi="Arial"/>
          <w:rtl/>
        </w:rPr>
      </w:pPr>
    </w:p>
    <w:p w:rsidR="00075C26" w:rsidRDefault="00075C26" w:rsidP="002A66BB">
      <w:pPr>
        <w:spacing w:line="360" w:lineRule="auto"/>
        <w:jc w:val="both"/>
        <w:rPr>
          <w:rFonts w:ascii="David" w:hAnsi="David"/>
          <w:rtl/>
        </w:rPr>
      </w:pPr>
      <w:r>
        <w:rPr>
          <w:rFonts w:ascii="Arial" w:hAnsi="Arial" w:hint="cs"/>
          <w:rtl/>
        </w:rPr>
        <w:t xml:space="preserve">לאחרונה </w:t>
      </w:r>
      <w:r w:rsidR="007C014F">
        <w:rPr>
          <w:rFonts w:ascii="Arial" w:hAnsi="Arial" w:hint="cs"/>
          <w:rtl/>
        </w:rPr>
        <w:t>אישרה ערכאת הערעור,</w:t>
      </w:r>
      <w:r>
        <w:rPr>
          <w:rFonts w:ascii="Arial" w:hAnsi="Arial" w:hint="cs"/>
          <w:rtl/>
        </w:rPr>
        <w:t xml:space="preserve"> בית המשפט המחוזי בבאר שבע</w:t>
      </w:r>
      <w:r w:rsidR="007C014F">
        <w:rPr>
          <w:rFonts w:ascii="Arial" w:hAnsi="Arial" w:hint="cs"/>
          <w:rtl/>
        </w:rPr>
        <w:t>,</w:t>
      </w:r>
      <w:r>
        <w:rPr>
          <w:rFonts w:ascii="Arial" w:hAnsi="Arial" w:hint="cs"/>
          <w:rtl/>
        </w:rPr>
        <w:t xml:space="preserve"> את </w:t>
      </w:r>
      <w:r w:rsidR="007C014F">
        <w:rPr>
          <w:rFonts w:ascii="Arial" w:hAnsi="Arial" w:hint="cs"/>
          <w:rtl/>
        </w:rPr>
        <w:t xml:space="preserve">החמרת </w:t>
      </w:r>
      <w:r>
        <w:rPr>
          <w:rFonts w:ascii="Arial" w:hAnsi="Arial" w:hint="cs"/>
          <w:rtl/>
        </w:rPr>
        <w:t xml:space="preserve">מתחם הענישה </w:t>
      </w:r>
      <w:r w:rsidR="008E4A02">
        <w:rPr>
          <w:rFonts w:ascii="Arial" w:hAnsi="Arial" w:hint="cs"/>
          <w:rtl/>
        </w:rPr>
        <w:t xml:space="preserve">בעבירה זו, </w:t>
      </w:r>
      <w:r w:rsidR="007C014F">
        <w:rPr>
          <w:rFonts w:ascii="Arial" w:hAnsi="Arial" w:hint="cs"/>
          <w:rtl/>
        </w:rPr>
        <w:t>כפי</w:t>
      </w:r>
      <w:r>
        <w:rPr>
          <w:rFonts w:ascii="Arial" w:hAnsi="Arial" w:hint="cs"/>
          <w:rtl/>
        </w:rPr>
        <w:t xml:space="preserve"> </w:t>
      </w:r>
      <w:r w:rsidR="007C014F">
        <w:rPr>
          <w:rFonts w:ascii="Arial" w:hAnsi="Arial" w:hint="cs"/>
          <w:rtl/>
        </w:rPr>
        <w:t>ש</w:t>
      </w:r>
      <w:r>
        <w:rPr>
          <w:rFonts w:ascii="Arial" w:hAnsi="Arial" w:hint="cs"/>
          <w:rtl/>
        </w:rPr>
        <w:t>נ</w:t>
      </w:r>
      <w:r w:rsidR="007C014F">
        <w:rPr>
          <w:rFonts w:ascii="Arial" w:hAnsi="Arial" w:hint="cs"/>
          <w:rtl/>
        </w:rPr>
        <w:t>קבע על ידי חברתי, כב' השופטת ש'</w:t>
      </w:r>
      <w:r>
        <w:rPr>
          <w:rFonts w:ascii="Arial" w:hAnsi="Arial" w:hint="cs"/>
          <w:rtl/>
        </w:rPr>
        <w:t xml:space="preserve"> שטרית, בעביר</w:t>
      </w:r>
      <w:r w:rsidR="002A66BB">
        <w:rPr>
          <w:rFonts w:ascii="Arial" w:hAnsi="Arial" w:hint="cs"/>
          <w:rtl/>
        </w:rPr>
        <w:t>ה</w:t>
      </w:r>
      <w:r>
        <w:rPr>
          <w:rFonts w:ascii="Arial" w:hAnsi="Arial" w:hint="cs"/>
          <w:rtl/>
        </w:rPr>
        <w:t xml:space="preserve"> </w:t>
      </w:r>
      <w:r w:rsidR="007C014F">
        <w:rPr>
          <w:rFonts w:ascii="Arial" w:hAnsi="Arial" w:hint="cs"/>
          <w:rtl/>
        </w:rPr>
        <w:t>מסוג זה</w:t>
      </w:r>
      <w:r>
        <w:rPr>
          <w:rFonts w:ascii="Arial" w:hAnsi="Arial" w:hint="cs"/>
          <w:rtl/>
        </w:rPr>
        <w:t xml:space="preserve">, כך שינוע בין 10 ועד 24 חודשי מאסר בפועל </w:t>
      </w:r>
      <w:r w:rsidR="002A66BB">
        <w:rPr>
          <w:rFonts w:ascii="Arial" w:hAnsi="Arial" w:hint="cs"/>
          <w:rtl/>
        </w:rPr>
        <w:t xml:space="preserve">(ראו ת"פ 16363-01-22 </w:t>
      </w:r>
      <w:r w:rsidR="002A66BB">
        <w:rPr>
          <w:rFonts w:ascii="Arial" w:hAnsi="Arial" w:hint="cs"/>
          <w:b/>
          <w:bCs/>
          <w:rtl/>
        </w:rPr>
        <w:t xml:space="preserve">מדינת ישראל נ' </w:t>
      </w:r>
      <w:r w:rsidR="002A66BB" w:rsidRPr="002A66BB">
        <w:rPr>
          <w:rFonts w:ascii="Arial" w:hAnsi="Arial" w:hint="cs"/>
          <w:b/>
          <w:bCs/>
          <w:rtl/>
        </w:rPr>
        <w:t>אלטורי</w:t>
      </w:r>
      <w:r w:rsidR="002A66BB">
        <w:rPr>
          <w:rFonts w:ascii="Arial" w:hAnsi="Arial" w:hint="cs"/>
          <w:rtl/>
        </w:rPr>
        <w:t xml:space="preserve">) </w:t>
      </w:r>
      <w:r w:rsidRPr="002A66BB">
        <w:rPr>
          <w:rFonts w:ascii="Arial" w:hAnsi="Arial" w:hint="cs"/>
          <w:rtl/>
        </w:rPr>
        <w:t>ואף</w:t>
      </w:r>
      <w:r>
        <w:rPr>
          <w:rFonts w:ascii="Arial" w:hAnsi="Arial" w:hint="cs"/>
          <w:rtl/>
        </w:rPr>
        <w:t xml:space="preserve"> ציין: </w:t>
      </w:r>
      <w:r w:rsidRPr="00075C26">
        <w:rPr>
          <w:rFonts w:ascii="Aharoni" w:hAnsi="Aharoni" w:cs="Aharoni"/>
          <w:rtl/>
        </w:rPr>
        <w:t xml:space="preserve">אכן, גם אנו מוצאים כי יש מקום לשקול החמרה בענישה בגין עבירה זו, זאת הן ביחס למתחם והן ביחס לענישה במסגרת המתחם, </w:t>
      </w:r>
      <w:r w:rsidRPr="00075C26">
        <w:rPr>
          <w:rFonts w:ascii="Aharoni" w:hAnsi="Aharoni" w:cs="Aharoni"/>
          <w:rtl/>
        </w:rPr>
        <w:lastRenderedPageBreak/>
        <w:t>אשר בה יהיה כדי לתת משקל רב יותר לשיקול הרתעת הרבים</w:t>
      </w:r>
      <w:r>
        <w:rPr>
          <w:rFonts w:ascii="Aharoni" w:hAnsi="Aharoni" w:cs="Aharoni" w:hint="cs"/>
          <w:rtl/>
        </w:rPr>
        <w:t xml:space="preserve"> </w:t>
      </w:r>
      <w:r>
        <w:rPr>
          <w:rFonts w:ascii="David" w:hAnsi="David" w:hint="cs"/>
          <w:rtl/>
        </w:rPr>
        <w:t xml:space="preserve">(ראו עפ"ג 12397-07-24 </w:t>
      </w:r>
      <w:r>
        <w:rPr>
          <w:rFonts w:ascii="David" w:hAnsi="David" w:hint="cs"/>
          <w:b/>
          <w:bCs/>
          <w:rtl/>
        </w:rPr>
        <w:t>אלטורי נ' מדינת ישראל</w:t>
      </w:r>
      <w:r>
        <w:rPr>
          <w:rFonts w:ascii="David" w:hAnsi="David" w:hint="cs"/>
          <w:rtl/>
        </w:rPr>
        <w:t xml:space="preserve"> </w:t>
      </w:r>
      <w:r>
        <w:rPr>
          <w:rFonts w:ascii="David" w:hAnsi="David"/>
          <w:rtl/>
        </w:rPr>
        <w:t>–</w:t>
      </w:r>
      <w:r>
        <w:rPr>
          <w:rFonts w:ascii="David" w:hAnsi="David" w:hint="cs"/>
          <w:rtl/>
        </w:rPr>
        <w:t xml:space="preserve"> ניתן ביום 30.10.24).</w:t>
      </w:r>
    </w:p>
    <w:p w:rsidR="00075C26" w:rsidRDefault="00075C26" w:rsidP="00D754E2">
      <w:pPr>
        <w:spacing w:line="360" w:lineRule="auto"/>
        <w:jc w:val="both"/>
        <w:rPr>
          <w:rFonts w:ascii="David" w:hAnsi="David"/>
          <w:rtl/>
        </w:rPr>
      </w:pPr>
    </w:p>
    <w:p w:rsidR="00075C26" w:rsidRPr="00075C26" w:rsidRDefault="007C014F" w:rsidP="007C014F">
      <w:pPr>
        <w:spacing w:line="360" w:lineRule="auto"/>
        <w:jc w:val="both"/>
        <w:rPr>
          <w:rFonts w:ascii="David" w:hAnsi="David"/>
          <w:rtl/>
        </w:rPr>
      </w:pPr>
      <w:r>
        <w:rPr>
          <w:rFonts w:ascii="David" w:hAnsi="David" w:hint="cs"/>
          <w:rtl/>
        </w:rPr>
        <w:t>לגופו של ענין, לנוכח נסיבותיו של המקרה דנן והעובדה, כי העבירה נעברה במועד קרוב יחסית לשינוי מדיניות האכיפה והתביעה, לא יחיל בית המשפט את ההחמרה הנזכרת לעיל, והמתחם</w:t>
      </w:r>
      <w:r w:rsidR="00075C26">
        <w:rPr>
          <w:rFonts w:ascii="David" w:hAnsi="David" w:hint="cs"/>
          <w:rtl/>
        </w:rPr>
        <w:t xml:space="preserve"> יועמד כך שינוע בין 8 ועד 18 חודשי מאסר בפועל, בכליאה ממשית.</w:t>
      </w:r>
    </w:p>
    <w:p w:rsidR="00D35A3F" w:rsidRDefault="00D35A3F" w:rsidP="00D35A3F">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945BD5">
      <w:pPr>
        <w:spacing w:line="360" w:lineRule="auto"/>
        <w:jc w:val="both"/>
        <w:rPr>
          <w:rFonts w:ascii="Arial" w:hAnsi="Arial"/>
          <w:noProof w:val="0"/>
          <w:rtl/>
        </w:rPr>
      </w:pPr>
      <w:r>
        <w:rPr>
          <w:rFonts w:ascii="Arial" w:hAnsi="Arial" w:hint="cs"/>
          <w:b/>
          <w:bCs/>
          <w:noProof w:val="0"/>
          <w:rtl/>
        </w:rPr>
        <w:t>קביעת הענישה הספציפית בתוך מתחם הענישה</w:t>
      </w:r>
    </w:p>
    <w:p w:rsidR="004D3099" w:rsidRDefault="004D3099" w:rsidP="004D3099">
      <w:pPr>
        <w:spacing w:line="360" w:lineRule="auto"/>
        <w:jc w:val="both"/>
        <w:rPr>
          <w:rFonts w:ascii="Arial" w:hAnsi="Arial"/>
          <w:rtl/>
        </w:rPr>
      </w:pPr>
    </w:p>
    <w:p w:rsidR="004D3099" w:rsidRDefault="007C014F" w:rsidP="004D3099">
      <w:pPr>
        <w:spacing w:line="360" w:lineRule="auto"/>
        <w:jc w:val="both"/>
        <w:rPr>
          <w:rFonts w:ascii="Arial" w:hAnsi="Arial"/>
          <w:rtl/>
        </w:rPr>
      </w:pPr>
      <w:r>
        <w:rPr>
          <w:rFonts w:ascii="Arial" w:hAnsi="Arial"/>
          <w:rtl/>
        </w:rPr>
        <w:t>לחובת הנאשם</w:t>
      </w:r>
      <w:r w:rsidR="004D3099" w:rsidRPr="004D3099">
        <w:rPr>
          <w:rFonts w:ascii="Arial" w:hAnsi="Arial"/>
          <w:rtl/>
        </w:rPr>
        <w:t xml:space="preserve"> יש לזקוף את העובדה, כי המדובר בעבירה, אשר נעברה במכוון, תוך פניה לאשה הנוספת ועריכת הנישואין עמה.</w:t>
      </w:r>
    </w:p>
    <w:p w:rsidR="00075C26" w:rsidRDefault="00075C26" w:rsidP="004D3099">
      <w:pPr>
        <w:spacing w:line="360" w:lineRule="auto"/>
        <w:jc w:val="both"/>
        <w:rPr>
          <w:rFonts w:ascii="Arial" w:hAnsi="Arial"/>
          <w:rtl/>
        </w:rPr>
      </w:pPr>
    </w:p>
    <w:p w:rsidR="00075C26" w:rsidRDefault="00075C26" w:rsidP="004D3099">
      <w:pPr>
        <w:spacing w:line="360" w:lineRule="auto"/>
        <w:jc w:val="both"/>
        <w:rPr>
          <w:rFonts w:ascii="Arial" w:hAnsi="Arial"/>
          <w:rtl/>
        </w:rPr>
      </w:pPr>
      <w:r>
        <w:rPr>
          <w:rFonts w:ascii="Arial" w:hAnsi="Arial" w:hint="cs"/>
          <w:rtl/>
        </w:rPr>
        <w:t>עוד לחובתו, הרשעות קודמות בעבירות מיסוי, בעלות אלמנט מרמתי, וכן הרשעה בעבירת אלימות מסוג איומים.</w:t>
      </w:r>
    </w:p>
    <w:p w:rsidR="00075C26" w:rsidRDefault="00075C26" w:rsidP="004D3099">
      <w:pPr>
        <w:spacing w:line="360" w:lineRule="auto"/>
        <w:jc w:val="both"/>
        <w:rPr>
          <w:rFonts w:ascii="Arial" w:hAnsi="Arial"/>
          <w:rtl/>
        </w:rPr>
      </w:pPr>
    </w:p>
    <w:p w:rsidR="00075C26" w:rsidRPr="004D3099" w:rsidRDefault="00075C26" w:rsidP="007C014F">
      <w:pPr>
        <w:spacing w:line="360" w:lineRule="auto"/>
        <w:jc w:val="both"/>
        <w:rPr>
          <w:rFonts w:ascii="Arial" w:hAnsi="Arial"/>
          <w:rtl/>
        </w:rPr>
      </w:pPr>
      <w:r>
        <w:rPr>
          <w:rFonts w:ascii="Arial" w:hAnsi="Arial" w:hint="cs"/>
          <w:rtl/>
        </w:rPr>
        <w:t xml:space="preserve">באלו יש </w:t>
      </w:r>
      <w:r w:rsidR="007C014F">
        <w:rPr>
          <w:rFonts w:ascii="Arial" w:hAnsi="Arial" w:hint="cs"/>
          <w:rtl/>
        </w:rPr>
        <w:t xml:space="preserve">כדי </w:t>
      </w:r>
      <w:r>
        <w:rPr>
          <w:rFonts w:ascii="Arial" w:hAnsi="Arial" w:hint="cs"/>
          <w:rtl/>
        </w:rPr>
        <w:t xml:space="preserve">ללמד, כי החוק אינו נר לרגליו של הנאשם, וכך ניתן ללמוד גם מאמרותיו במשטרה ובבית המשפט, מהם עולה, כי אינו מוכן להכיר בחוק האוסר את נישואיו לשתי נשים, כיוון </w:t>
      </w:r>
      <w:r w:rsidR="007C014F">
        <w:rPr>
          <w:rFonts w:ascii="Arial" w:hAnsi="Arial" w:hint="cs"/>
          <w:rtl/>
        </w:rPr>
        <w:t>שאינו</w:t>
      </w:r>
      <w:r>
        <w:rPr>
          <w:rFonts w:ascii="Arial" w:hAnsi="Arial" w:hint="cs"/>
          <w:rtl/>
        </w:rPr>
        <w:t xml:space="preserve"> עולה בקנה אחד עם חוקי השריעה.</w:t>
      </w:r>
    </w:p>
    <w:p w:rsidR="004D3099" w:rsidRDefault="004D3099">
      <w:pPr>
        <w:spacing w:line="360" w:lineRule="auto"/>
        <w:jc w:val="both"/>
        <w:rPr>
          <w:rFonts w:ascii="Arial" w:hAnsi="Arial"/>
          <w:noProof w:val="0"/>
          <w:rtl/>
        </w:rPr>
      </w:pPr>
    </w:p>
    <w:p w:rsidR="004D3099" w:rsidRDefault="004D3099" w:rsidP="004D3099">
      <w:pPr>
        <w:spacing w:line="360" w:lineRule="auto"/>
        <w:jc w:val="both"/>
        <w:rPr>
          <w:rFonts w:ascii="Arial" w:hAnsi="Arial"/>
          <w:rtl/>
        </w:rPr>
      </w:pPr>
      <w:r w:rsidRPr="004D3099">
        <w:rPr>
          <w:rFonts w:ascii="Arial" w:hAnsi="Arial"/>
          <w:rtl/>
        </w:rPr>
        <w:t>הנאשם כפר באשמה ולא נטל אחריות על מעשיו. זוהי, כמובן,</w:t>
      </w:r>
      <w:r w:rsidR="008E4A02">
        <w:rPr>
          <w:rFonts w:ascii="Arial" w:hAnsi="Arial"/>
          <w:rtl/>
        </w:rPr>
        <w:t xml:space="preserve"> זכותו, אך הוא איננו זכאי להקל</w:t>
      </w:r>
      <w:r w:rsidR="008E4A02">
        <w:rPr>
          <w:rFonts w:ascii="Arial" w:hAnsi="Arial" w:hint="cs"/>
          <w:rtl/>
        </w:rPr>
        <w:t>ה</w:t>
      </w:r>
      <w:r w:rsidR="008E4A02">
        <w:rPr>
          <w:rFonts w:ascii="Arial" w:hAnsi="Arial"/>
          <w:rtl/>
        </w:rPr>
        <w:t xml:space="preserve"> לה</w:t>
      </w:r>
      <w:r w:rsidR="008E4A02">
        <w:rPr>
          <w:rFonts w:ascii="Arial" w:hAnsi="Arial" w:hint="cs"/>
          <w:rtl/>
        </w:rPr>
        <w:t xml:space="preserve"> </w:t>
      </w:r>
      <w:r w:rsidRPr="004D3099">
        <w:rPr>
          <w:rFonts w:ascii="Arial" w:hAnsi="Arial"/>
          <w:rtl/>
        </w:rPr>
        <w:t xml:space="preserve">זכאי מי שנוטל אחריות על מעשיו ומביע חרטה. </w:t>
      </w:r>
    </w:p>
    <w:p w:rsidR="00075C26" w:rsidRDefault="00075C26" w:rsidP="004D3099">
      <w:pPr>
        <w:spacing w:line="360" w:lineRule="auto"/>
        <w:jc w:val="both"/>
        <w:rPr>
          <w:rFonts w:ascii="Arial" w:hAnsi="Arial"/>
          <w:rtl/>
        </w:rPr>
      </w:pPr>
    </w:p>
    <w:p w:rsidR="00075C26" w:rsidRDefault="00075C26" w:rsidP="00D305F0">
      <w:pPr>
        <w:spacing w:line="360" w:lineRule="auto"/>
        <w:jc w:val="both"/>
        <w:rPr>
          <w:rFonts w:ascii="Arial" w:hAnsi="Arial"/>
          <w:rtl/>
        </w:rPr>
      </w:pPr>
      <w:r>
        <w:rPr>
          <w:rFonts w:ascii="Arial" w:hAnsi="Arial" w:hint="cs"/>
          <w:rtl/>
        </w:rPr>
        <w:t xml:space="preserve">אף בדברו האחרון, הבהיר הנאשם, כי אינו חש אשם על מעשיו ואף ניתן היה להבחין בנימת איום מרומז בדבריו, כאשר ציין, כי על בית המשפט לקחת בחשבון את מעמדו וציין אירועי רצח שאירעו בחברה הבדואית תוך </w:t>
      </w:r>
      <w:r w:rsidR="00D305F0">
        <w:rPr>
          <w:rFonts w:ascii="Arial" w:hAnsi="Arial" w:hint="cs"/>
          <w:rtl/>
        </w:rPr>
        <w:t>שהוסיף</w:t>
      </w:r>
      <w:r>
        <w:rPr>
          <w:rFonts w:ascii="Arial" w:hAnsi="Arial" w:hint="cs"/>
          <w:rtl/>
        </w:rPr>
        <w:t>, כי דברים יכולים להיות "גרועים יותר".</w:t>
      </w:r>
    </w:p>
    <w:p w:rsidR="00BB536D" w:rsidRDefault="00BB536D" w:rsidP="004D3099">
      <w:pPr>
        <w:spacing w:line="360" w:lineRule="auto"/>
        <w:jc w:val="both"/>
        <w:rPr>
          <w:rFonts w:ascii="Arial" w:hAnsi="Arial"/>
          <w:rtl/>
        </w:rPr>
      </w:pPr>
    </w:p>
    <w:p w:rsidR="00B72FA5" w:rsidRDefault="008E4A02" w:rsidP="00B72FA5">
      <w:pPr>
        <w:spacing w:line="360" w:lineRule="auto"/>
        <w:jc w:val="both"/>
        <w:rPr>
          <w:rFonts w:ascii="Arial" w:hAnsi="Arial"/>
          <w:rtl/>
        </w:rPr>
      </w:pPr>
      <w:r>
        <w:rPr>
          <w:rFonts w:ascii="Arial" w:hAnsi="Arial" w:hint="cs"/>
          <w:rtl/>
        </w:rPr>
        <w:t>בענינו</w:t>
      </w:r>
      <w:r w:rsidR="00BB536D">
        <w:rPr>
          <w:rFonts w:ascii="Arial" w:hAnsi="Arial" w:hint="cs"/>
          <w:rtl/>
        </w:rPr>
        <w:t xml:space="preserve"> </w:t>
      </w:r>
      <w:r w:rsidR="008E70FC">
        <w:rPr>
          <w:rFonts w:ascii="Arial" w:hAnsi="Arial" w:hint="cs"/>
          <w:rtl/>
        </w:rPr>
        <w:t xml:space="preserve">של </w:t>
      </w:r>
      <w:r w:rsidR="00BB536D">
        <w:rPr>
          <w:rFonts w:ascii="Arial" w:hAnsi="Arial" w:hint="cs"/>
          <w:rtl/>
        </w:rPr>
        <w:t>נאשם זה, חומרה יתרה</w:t>
      </w:r>
      <w:r w:rsidR="00075C26">
        <w:rPr>
          <w:rFonts w:ascii="Arial" w:hAnsi="Arial" w:hint="cs"/>
          <w:rtl/>
        </w:rPr>
        <w:t xml:space="preserve"> למעשים.</w:t>
      </w:r>
      <w:r w:rsidR="00BB536D">
        <w:rPr>
          <w:rFonts w:ascii="Arial" w:hAnsi="Arial" w:hint="cs"/>
          <w:rtl/>
        </w:rPr>
        <w:t xml:space="preserve"> מדובר </w:t>
      </w:r>
      <w:r w:rsidR="007C014F">
        <w:rPr>
          <w:rFonts w:ascii="Arial" w:hAnsi="Arial" w:hint="cs"/>
          <w:rtl/>
        </w:rPr>
        <w:t>בנאשם משכיל ומצוי בהוויית החיים המודרניים</w:t>
      </w:r>
      <w:r>
        <w:rPr>
          <w:rFonts w:ascii="Arial" w:hAnsi="Arial" w:hint="cs"/>
          <w:rtl/>
        </w:rPr>
        <w:t xml:space="preserve">, אשר </w:t>
      </w:r>
      <w:r w:rsidR="007C014F">
        <w:rPr>
          <w:rFonts w:ascii="Arial" w:hAnsi="Arial" w:hint="cs"/>
          <w:rtl/>
        </w:rPr>
        <w:t>כיהן ב</w:t>
      </w:r>
      <w:r>
        <w:rPr>
          <w:rFonts w:ascii="Arial" w:hAnsi="Arial" w:hint="cs"/>
          <w:rtl/>
        </w:rPr>
        <w:t xml:space="preserve">מספר </w:t>
      </w:r>
      <w:r w:rsidR="007C014F">
        <w:rPr>
          <w:rFonts w:ascii="Arial" w:hAnsi="Arial" w:hint="cs"/>
          <w:rtl/>
        </w:rPr>
        <w:t>משרות ציבוריות, בשירות המדינה,</w:t>
      </w:r>
      <w:r w:rsidR="00BB536D">
        <w:rPr>
          <w:rFonts w:ascii="Arial" w:hAnsi="Arial" w:hint="cs"/>
          <w:rtl/>
        </w:rPr>
        <w:t xml:space="preserve"> </w:t>
      </w:r>
      <w:r w:rsidR="007C014F">
        <w:rPr>
          <w:rFonts w:ascii="Arial" w:hAnsi="Arial" w:hint="cs"/>
          <w:rtl/>
        </w:rPr>
        <w:t xml:space="preserve">לרבות </w:t>
      </w:r>
      <w:r w:rsidR="00BB536D">
        <w:rPr>
          <w:rFonts w:ascii="Arial" w:hAnsi="Arial" w:hint="cs"/>
          <w:rtl/>
        </w:rPr>
        <w:t>במשרד ראש הממשלה</w:t>
      </w:r>
      <w:r>
        <w:rPr>
          <w:rFonts w:ascii="Arial" w:hAnsi="Arial" w:hint="cs"/>
          <w:rtl/>
        </w:rPr>
        <w:t>,</w:t>
      </w:r>
      <w:r w:rsidR="00BB536D">
        <w:rPr>
          <w:rFonts w:ascii="Arial" w:hAnsi="Arial" w:hint="cs"/>
          <w:rtl/>
        </w:rPr>
        <w:t xml:space="preserve"> בת</w:t>
      </w:r>
      <w:r w:rsidR="00FC22A9">
        <w:rPr>
          <w:rFonts w:ascii="Arial" w:hAnsi="Arial" w:hint="cs"/>
          <w:rtl/>
        </w:rPr>
        <w:t xml:space="preserve">פקיד יועץ לענייני </w:t>
      </w:r>
      <w:r w:rsidR="007C014F">
        <w:rPr>
          <w:rFonts w:ascii="Arial" w:hAnsi="Arial" w:hint="cs"/>
          <w:rtl/>
        </w:rPr>
        <w:t>החברה הבדואית</w:t>
      </w:r>
      <w:r w:rsidR="00FC22A9">
        <w:rPr>
          <w:rFonts w:ascii="Arial" w:hAnsi="Arial" w:hint="cs"/>
          <w:rtl/>
        </w:rPr>
        <w:t xml:space="preserve">, </w:t>
      </w:r>
      <w:r>
        <w:rPr>
          <w:rFonts w:ascii="Arial" w:hAnsi="Arial" w:hint="cs"/>
          <w:rtl/>
        </w:rPr>
        <w:t xml:space="preserve">וכן </w:t>
      </w:r>
      <w:r w:rsidR="00FC22A9">
        <w:rPr>
          <w:rFonts w:ascii="Arial" w:hAnsi="Arial" w:hint="cs"/>
          <w:rtl/>
        </w:rPr>
        <w:t>מנהל אגף פיתוח חברתי כלכלי למגזר הבדואי במשרד ראש הממשלה.</w:t>
      </w:r>
    </w:p>
    <w:p w:rsidR="00B72FA5" w:rsidRDefault="00B72FA5" w:rsidP="00B72FA5">
      <w:pPr>
        <w:spacing w:line="360" w:lineRule="auto"/>
        <w:jc w:val="both"/>
        <w:rPr>
          <w:rFonts w:ascii="Arial" w:hAnsi="Arial"/>
          <w:rtl/>
        </w:rPr>
      </w:pPr>
    </w:p>
    <w:p w:rsidR="00B72FA5" w:rsidRPr="000B4889" w:rsidRDefault="00B72FA5" w:rsidP="004542E9">
      <w:pPr>
        <w:spacing w:line="360" w:lineRule="auto"/>
        <w:jc w:val="both"/>
        <w:rPr>
          <w:rFonts w:ascii="Arial" w:hAnsi="Arial"/>
          <w:color w:val="FF0000"/>
          <w:rtl/>
        </w:rPr>
      </w:pPr>
      <w:r w:rsidRPr="004542E9">
        <w:rPr>
          <w:rFonts w:ascii="Arial" w:hAnsi="Arial" w:hint="cs"/>
          <w:rtl/>
        </w:rPr>
        <w:t xml:space="preserve">מעיון במכתבי ההמלצה שצירף הנאשם עולה, כי שימש בתפקידי מפתח שונים, תוך שניתן בו אמון רב מצד בעלי תפקידים שונים בממשלה והוא זכה לשמש בתפקדים בכירים, שתפקידם, בין היתר, לקדם את מעמד החברה הבדואית. </w:t>
      </w:r>
    </w:p>
    <w:p w:rsidR="00B72FA5" w:rsidRDefault="00B72FA5" w:rsidP="00B72FA5">
      <w:pPr>
        <w:spacing w:line="360" w:lineRule="auto"/>
        <w:jc w:val="both"/>
        <w:rPr>
          <w:rFonts w:ascii="Arial" w:hAnsi="Arial"/>
          <w:rtl/>
        </w:rPr>
      </w:pPr>
    </w:p>
    <w:p w:rsidR="00BB536D" w:rsidRDefault="00075C26" w:rsidP="004542E9">
      <w:pPr>
        <w:spacing w:line="360" w:lineRule="auto"/>
        <w:jc w:val="both"/>
        <w:rPr>
          <w:rFonts w:ascii="Arial" w:hAnsi="Arial"/>
          <w:rtl/>
        </w:rPr>
      </w:pPr>
      <w:r>
        <w:rPr>
          <w:rFonts w:ascii="Arial" w:hAnsi="Arial" w:hint="cs"/>
          <w:rtl/>
        </w:rPr>
        <w:t xml:space="preserve">אדם </w:t>
      </w:r>
      <w:r w:rsidR="004542E9">
        <w:rPr>
          <w:rFonts w:ascii="Arial" w:hAnsi="Arial" w:hint="cs"/>
          <w:rtl/>
        </w:rPr>
        <w:t>שכיהן בתפקידיו</w:t>
      </w:r>
      <w:r>
        <w:rPr>
          <w:rFonts w:ascii="Arial" w:hAnsi="Arial" w:hint="cs"/>
          <w:rtl/>
        </w:rPr>
        <w:t xml:space="preserve"> של הנאשם</w:t>
      </w:r>
      <w:r w:rsidR="007C014F">
        <w:rPr>
          <w:rFonts w:ascii="Arial" w:hAnsi="Arial" w:hint="cs"/>
          <w:rtl/>
        </w:rPr>
        <w:t xml:space="preserve">, אשר נטען, כי הוא בעל מעמד מיוחד בחברה אליה משתייך, אדם אשר זכה לאמון מצדה של המדינה </w:t>
      </w:r>
      <w:r w:rsidR="008E4A02">
        <w:rPr>
          <w:rFonts w:ascii="Arial" w:hAnsi="Arial" w:hint="cs"/>
          <w:rtl/>
        </w:rPr>
        <w:t>ומוסדותיה</w:t>
      </w:r>
      <w:r w:rsidR="00ED47BF">
        <w:rPr>
          <w:rFonts w:ascii="Arial" w:hAnsi="Arial" w:hint="cs"/>
          <w:rtl/>
        </w:rPr>
        <w:t xml:space="preserve">, אדם </w:t>
      </w:r>
      <w:r w:rsidR="007C014F">
        <w:rPr>
          <w:rFonts w:ascii="Arial" w:hAnsi="Arial" w:hint="cs"/>
          <w:rtl/>
        </w:rPr>
        <w:t>ה</w:t>
      </w:r>
      <w:r>
        <w:rPr>
          <w:rFonts w:ascii="Arial" w:hAnsi="Arial" w:hint="cs"/>
          <w:rtl/>
        </w:rPr>
        <w:t xml:space="preserve">מכיר </w:t>
      </w:r>
      <w:r w:rsidR="008E4A02">
        <w:rPr>
          <w:rFonts w:ascii="Arial" w:hAnsi="Arial" w:hint="cs"/>
          <w:rtl/>
        </w:rPr>
        <w:t xml:space="preserve">היטב </w:t>
      </w:r>
      <w:r>
        <w:rPr>
          <w:rFonts w:ascii="Arial" w:hAnsi="Arial" w:hint="cs"/>
          <w:rtl/>
        </w:rPr>
        <w:t xml:space="preserve">את </w:t>
      </w:r>
      <w:r w:rsidR="007C014F">
        <w:rPr>
          <w:rFonts w:ascii="Arial" w:hAnsi="Arial" w:hint="cs"/>
          <w:rtl/>
        </w:rPr>
        <w:t xml:space="preserve">מערכת המשפט ואת החוק - </w:t>
      </w:r>
      <w:r>
        <w:rPr>
          <w:rFonts w:ascii="Arial" w:hAnsi="Arial" w:hint="cs"/>
          <w:rtl/>
        </w:rPr>
        <w:t xml:space="preserve">מצופה ממנו להוות דוגמה </w:t>
      </w:r>
      <w:r w:rsidR="007C014F">
        <w:rPr>
          <w:rFonts w:ascii="Arial" w:hAnsi="Arial" w:hint="cs"/>
          <w:rtl/>
        </w:rPr>
        <w:t>ומופת</w:t>
      </w:r>
      <w:r>
        <w:rPr>
          <w:rFonts w:ascii="Arial" w:hAnsi="Arial" w:hint="cs"/>
          <w:rtl/>
        </w:rPr>
        <w:t>.</w:t>
      </w:r>
    </w:p>
    <w:p w:rsidR="00724EAE" w:rsidRDefault="00724EAE" w:rsidP="008E4A02">
      <w:pPr>
        <w:spacing w:line="360" w:lineRule="auto"/>
        <w:jc w:val="both"/>
        <w:rPr>
          <w:rFonts w:ascii="Arial" w:hAnsi="Arial"/>
          <w:rtl/>
        </w:rPr>
      </w:pPr>
    </w:p>
    <w:p w:rsidR="008E4A02" w:rsidRDefault="008E4A02" w:rsidP="008E4A02">
      <w:pPr>
        <w:spacing w:line="360" w:lineRule="auto"/>
        <w:jc w:val="both"/>
        <w:rPr>
          <w:rFonts w:ascii="Arial" w:hAnsi="Arial"/>
          <w:rtl/>
        </w:rPr>
      </w:pPr>
      <w:r>
        <w:rPr>
          <w:rFonts w:ascii="Arial" w:hAnsi="Arial" w:hint="cs"/>
          <w:rtl/>
        </w:rPr>
        <w:t xml:space="preserve">אין דומה מצבו של מי שחי בתוך כיס חברתי מבודד, אינו מצוי בהוויית החיים במדינה, אינו מכיר את הוראות החוק </w:t>
      </w:r>
      <w:r>
        <w:rPr>
          <w:rFonts w:ascii="Arial" w:hAnsi="Arial"/>
          <w:rtl/>
        </w:rPr>
        <w:t>–</w:t>
      </w:r>
      <w:r>
        <w:rPr>
          <w:rFonts w:ascii="Arial" w:hAnsi="Arial" w:hint="cs"/>
          <w:rtl/>
        </w:rPr>
        <w:t xml:space="preserve"> למצבו של נאשם זה, אשר, כפי שעולה מאמרתו במשטרה, עבר העבירה מתוך מודעות מלאה למצב המשפטי, למרות הכל ואף על פי כן.</w:t>
      </w:r>
    </w:p>
    <w:p w:rsidR="00075C26" w:rsidRDefault="00075C26" w:rsidP="00075C26">
      <w:pPr>
        <w:spacing w:line="360" w:lineRule="auto"/>
        <w:jc w:val="both"/>
        <w:rPr>
          <w:rFonts w:ascii="Arial" w:hAnsi="Arial"/>
          <w:rtl/>
        </w:rPr>
      </w:pPr>
    </w:p>
    <w:p w:rsidR="00075C26" w:rsidRPr="00075C26" w:rsidRDefault="00075C26" w:rsidP="008E4A02">
      <w:pPr>
        <w:spacing w:line="360" w:lineRule="auto"/>
        <w:jc w:val="both"/>
        <w:rPr>
          <w:rFonts w:ascii="Arial" w:hAnsi="Arial"/>
          <w:rtl/>
        </w:rPr>
      </w:pPr>
      <w:r>
        <w:rPr>
          <w:rFonts w:ascii="Arial" w:hAnsi="Arial" w:hint="cs"/>
          <w:rtl/>
        </w:rPr>
        <w:t xml:space="preserve">גם הטענה בדבר קרבה למועד פרסום ההנחיה אינה מהווה נסיבה מקלה בענישה, כפי שנקבע בבית המשפט המחוזי בבאר שבע במסגרת עפ"ג 58998-03-21 </w:t>
      </w:r>
      <w:r>
        <w:rPr>
          <w:rFonts w:ascii="Arial" w:hAnsi="Arial" w:hint="cs"/>
          <w:b/>
          <w:bCs/>
          <w:rtl/>
        </w:rPr>
        <w:t>אבו לטיף נ' מדינת ישראל</w:t>
      </w:r>
      <w:r>
        <w:rPr>
          <w:rFonts w:ascii="Arial" w:hAnsi="Arial" w:hint="cs"/>
          <w:rtl/>
        </w:rPr>
        <w:t>:</w:t>
      </w:r>
    </w:p>
    <w:p w:rsidR="00075C26" w:rsidRDefault="00075C26" w:rsidP="00075C26">
      <w:pPr>
        <w:spacing w:line="360" w:lineRule="auto"/>
        <w:jc w:val="both"/>
        <w:rPr>
          <w:rFonts w:ascii="Arial" w:hAnsi="Arial"/>
          <w:rtl/>
        </w:rPr>
      </w:pPr>
    </w:p>
    <w:p w:rsidR="00075C26" w:rsidRPr="00075C26" w:rsidRDefault="00075C26" w:rsidP="00075C26">
      <w:pPr>
        <w:spacing w:line="360" w:lineRule="auto"/>
        <w:jc w:val="both"/>
        <w:rPr>
          <w:rFonts w:ascii="David" w:hAnsi="David"/>
        </w:rPr>
      </w:pPr>
      <w:r w:rsidRPr="00075C26">
        <w:rPr>
          <w:rFonts w:ascii="Aharoni" w:hAnsi="Aharoni" w:cs="Aharoni"/>
          <w:rtl/>
        </w:rPr>
        <w:t xml:space="preserve">טרם נעילה יוער כי </w:t>
      </w:r>
      <w:r w:rsidRPr="00075C26">
        <w:rPr>
          <w:rFonts w:ascii="Aharoni" w:hAnsi="Aharoni" w:cs="Aharoni"/>
          <w:u w:val="single"/>
          <w:rtl/>
        </w:rPr>
        <w:t>לא ראינו אף לתת משקל</w:t>
      </w:r>
      <w:r w:rsidRPr="00075C26">
        <w:rPr>
          <w:rFonts w:ascii="Aharoni" w:hAnsi="Aharoni" w:cs="Aharoni"/>
          <w:rtl/>
        </w:rPr>
        <w:t xml:space="preserve"> המצדיק הפחתה בענישה לעובדה אותה הדגיש הסניגור, כי העבירה של ריבוי נישואין נעשתה בסמוך לשינוי במדיניות האכיפה. נציין בעניין זה, כי הגם שפרק הזמן שחלף מאז ההוראה של האכיפה עד לביצוע העבירה כאן אינו ארוך, הרי עדיין </w:t>
      </w:r>
      <w:r w:rsidRPr="00075C26">
        <w:rPr>
          <w:rFonts w:ascii="Aharoni" w:hAnsi="Aharoni" w:cs="Aharoni"/>
          <w:u w:val="single"/>
          <w:rtl/>
        </w:rPr>
        <w:t>אין בכך כדי להוות נימוק</w:t>
      </w:r>
      <w:r w:rsidRPr="00075C26">
        <w:rPr>
          <w:rFonts w:ascii="Aharoni" w:hAnsi="Aharoni" w:cs="Aharoni"/>
          <w:rtl/>
        </w:rPr>
        <w:t xml:space="preserve"> עיקרי לעונש ואף במקרים בהם העבירה בוצעה במועד סמוך יותר, לא ראה בית משפט זה לנכון להתערב לענישה נמוכה יותר והמערער שם נדון לתשעה חודשי מאסר בפועל</w:t>
      </w:r>
      <w:r>
        <w:rPr>
          <w:rFonts w:ascii="Aharoni" w:hAnsi="Aharoni" w:cs="Aharoni" w:hint="cs"/>
          <w:rtl/>
        </w:rPr>
        <w:t xml:space="preserve"> (ראה עפ"ג 15166-01-21 כתנאני נ' מ"י מיום 28.04.21). </w:t>
      </w:r>
      <w:r>
        <w:rPr>
          <w:rFonts w:ascii="David" w:hAnsi="David" w:hint="cs"/>
          <w:rtl/>
        </w:rPr>
        <w:t>(ההדגשות אינן במקור).</w:t>
      </w:r>
    </w:p>
    <w:p w:rsidR="004D3099" w:rsidRDefault="004D3099">
      <w:pPr>
        <w:spacing w:line="360" w:lineRule="auto"/>
        <w:jc w:val="both"/>
        <w:rPr>
          <w:rFonts w:ascii="Arial" w:hAnsi="Arial"/>
          <w:noProof w:val="0"/>
          <w:rtl/>
        </w:rPr>
      </w:pPr>
    </w:p>
    <w:p w:rsidR="004D3099" w:rsidRPr="004D3099" w:rsidRDefault="004D3099" w:rsidP="00D305F0">
      <w:pPr>
        <w:spacing w:line="360" w:lineRule="auto"/>
        <w:jc w:val="both"/>
        <w:rPr>
          <w:rFonts w:ascii="Arial" w:hAnsi="Arial"/>
        </w:rPr>
      </w:pPr>
      <w:r w:rsidRPr="004D3099">
        <w:rPr>
          <w:rFonts w:ascii="Arial" w:hAnsi="Arial"/>
          <w:rtl/>
        </w:rPr>
        <w:t>לא הוצגו לפני בית המשפט נסיבות מיוחדות, המצדיקות סטיה ממתחם הענישה</w:t>
      </w:r>
      <w:r w:rsidR="008E70FC">
        <w:rPr>
          <w:rFonts w:ascii="Arial" w:hAnsi="Arial" w:hint="cs"/>
          <w:rtl/>
        </w:rPr>
        <w:t xml:space="preserve"> </w:t>
      </w:r>
      <w:r w:rsidR="008E4A02">
        <w:rPr>
          <w:rFonts w:ascii="Arial" w:hAnsi="Arial" w:hint="cs"/>
          <w:rtl/>
        </w:rPr>
        <w:t xml:space="preserve">או אפילו הקלה במסגרת המתחם. </w:t>
      </w:r>
      <w:r w:rsidR="00075C26">
        <w:rPr>
          <w:rFonts w:ascii="Arial" w:hAnsi="Arial" w:hint="cs"/>
          <w:rtl/>
        </w:rPr>
        <w:t>הנזק הנטען מפי ההגנה הוא נזק שנגרם לכל מי שנותן את הדין בהליך פלילי וצפוי לרצות עונש מאסר</w:t>
      </w:r>
      <w:r w:rsidRPr="004D3099">
        <w:rPr>
          <w:rFonts w:ascii="Arial" w:hAnsi="Arial"/>
          <w:rtl/>
        </w:rPr>
        <w:t>.</w:t>
      </w:r>
      <w:r w:rsidR="00ED47BF">
        <w:rPr>
          <w:rFonts w:ascii="Arial" w:hAnsi="Arial" w:hint="cs"/>
          <w:rtl/>
        </w:rPr>
        <w:t xml:space="preserve"> ההיפך הוא הנכון: לנאשם ילדים בוגרים, כולם </w:t>
      </w:r>
      <w:r w:rsidR="00D305F0">
        <w:rPr>
          <w:rFonts w:ascii="Arial" w:hAnsi="Arial" w:hint="cs"/>
          <w:rtl/>
        </w:rPr>
        <w:t>בעלי השכלה אקדמית גבוהה (מרביתם בתחום הרפואה), אשר יש בידיהם לסייע לפרנסת המשפחה.</w:t>
      </w:r>
      <w:r w:rsidR="00ED47BF">
        <w:rPr>
          <w:rFonts w:ascii="Arial" w:hAnsi="Arial" w:hint="cs"/>
          <w:rtl/>
        </w:rPr>
        <w:t xml:space="preserve"> בניגוד למקרים הספורים בהם ניתנו הקלות מסוימות</w:t>
      </w:r>
      <w:r w:rsidR="00D305F0">
        <w:rPr>
          <w:rFonts w:ascii="Arial" w:hAnsi="Arial" w:hint="cs"/>
          <w:rtl/>
        </w:rPr>
        <w:t xml:space="preserve"> (וגם באותם מקרים, כאמור, הושת עונש מאסר בכליאה ממשית)</w:t>
      </w:r>
      <w:r w:rsidR="008E70FC">
        <w:rPr>
          <w:rFonts w:ascii="Arial" w:hAnsi="Arial" w:hint="cs"/>
          <w:rtl/>
        </w:rPr>
        <w:t>, הוא אינו מט</w:t>
      </w:r>
      <w:r w:rsidR="004542E9">
        <w:rPr>
          <w:rFonts w:ascii="Arial" w:hAnsi="Arial" w:hint="cs"/>
          <w:rtl/>
        </w:rPr>
        <w:t>ו</w:t>
      </w:r>
      <w:r w:rsidR="00ED47BF">
        <w:rPr>
          <w:rFonts w:ascii="Arial" w:hAnsi="Arial" w:hint="cs"/>
          <w:rtl/>
        </w:rPr>
        <w:t>פל בילדים קטנים, ואף לא הוצגה כל מצוקה ממנה סובלת המשפחה</w:t>
      </w:r>
      <w:r w:rsidR="00D305F0">
        <w:rPr>
          <w:rFonts w:ascii="Arial" w:hAnsi="Arial" w:hint="cs"/>
          <w:rtl/>
        </w:rPr>
        <w:t xml:space="preserve">. בלשון עדינה ייאמר, כי </w:t>
      </w:r>
      <w:r w:rsidR="00ED47BF">
        <w:rPr>
          <w:rFonts w:ascii="Arial" w:hAnsi="Arial" w:hint="cs"/>
          <w:rtl/>
        </w:rPr>
        <w:t>ההיפך הוא הנכון</w:t>
      </w:r>
      <w:r w:rsidR="00D305F0">
        <w:rPr>
          <w:rFonts w:ascii="Arial" w:hAnsi="Arial" w:hint="cs"/>
          <w:rtl/>
        </w:rPr>
        <w:t>.</w:t>
      </w:r>
    </w:p>
    <w:p w:rsidR="004D3099" w:rsidRPr="004D3099" w:rsidRDefault="004D3099" w:rsidP="00D305F0">
      <w:pPr>
        <w:spacing w:line="360" w:lineRule="auto"/>
        <w:jc w:val="both"/>
        <w:rPr>
          <w:rFonts w:ascii="Arial" w:hAnsi="Arial"/>
          <w:rtl/>
        </w:rPr>
      </w:pPr>
      <w:r w:rsidRPr="004D3099">
        <w:rPr>
          <w:rFonts w:ascii="Arial" w:hAnsi="Arial"/>
          <w:rtl/>
        </w:rPr>
        <w:lastRenderedPageBreak/>
        <w:t xml:space="preserve">בשקלול הגורמים, </w:t>
      </w:r>
      <w:r w:rsidR="00ED47BF">
        <w:rPr>
          <w:rFonts w:ascii="Arial" w:hAnsi="Arial" w:hint="cs"/>
          <w:rtl/>
        </w:rPr>
        <w:t xml:space="preserve">לנוכח </w:t>
      </w:r>
      <w:r w:rsidR="00D305F0">
        <w:rPr>
          <w:rFonts w:ascii="Arial" w:hAnsi="Arial" w:hint="cs"/>
          <w:rtl/>
        </w:rPr>
        <w:t>הרשעותיו הקודמות</w:t>
      </w:r>
      <w:r w:rsidR="00ED47BF">
        <w:rPr>
          <w:rFonts w:ascii="Arial" w:hAnsi="Arial" w:hint="cs"/>
          <w:rtl/>
        </w:rPr>
        <w:t xml:space="preserve"> של הנאשם וכן </w:t>
      </w:r>
      <w:r w:rsidR="00D305F0">
        <w:rPr>
          <w:rFonts w:ascii="Arial" w:hAnsi="Arial" w:hint="cs"/>
          <w:rtl/>
        </w:rPr>
        <w:t>העמדה שמגלה בנוגע ל</w:t>
      </w:r>
      <w:r w:rsidR="00ED47BF">
        <w:rPr>
          <w:rFonts w:ascii="Arial" w:hAnsi="Arial" w:hint="cs"/>
          <w:rtl/>
        </w:rPr>
        <w:t xml:space="preserve">עבירה שעבר, עד לדברו האחרון ממש - </w:t>
      </w:r>
      <w:r w:rsidRPr="004D3099">
        <w:rPr>
          <w:rFonts w:ascii="Arial" w:hAnsi="Arial"/>
          <w:rtl/>
        </w:rPr>
        <w:t>מוצא בית המשפט למקם עונשו של הנאשם בחלקו הבינוני</w:t>
      </w:r>
      <w:r w:rsidR="00D305F0">
        <w:rPr>
          <w:rFonts w:ascii="Arial" w:hAnsi="Arial" w:hint="cs"/>
          <w:rtl/>
        </w:rPr>
        <w:t xml:space="preserve"> - גבוה</w:t>
      </w:r>
      <w:r w:rsidRPr="004D3099">
        <w:rPr>
          <w:rFonts w:ascii="Arial" w:hAnsi="Arial"/>
          <w:rtl/>
        </w:rPr>
        <w:t xml:space="preserve"> של המתחם.</w:t>
      </w:r>
    </w:p>
    <w:p w:rsidR="004D3099" w:rsidRPr="004D3099" w:rsidRDefault="004D3099" w:rsidP="004D3099">
      <w:pPr>
        <w:spacing w:line="360" w:lineRule="auto"/>
        <w:jc w:val="both"/>
        <w:rPr>
          <w:rFonts w:ascii="Arial" w:hAnsi="Arial"/>
          <w:rtl/>
        </w:rPr>
      </w:pPr>
    </w:p>
    <w:p w:rsidR="004D3099" w:rsidRPr="004D3099" w:rsidRDefault="004D3099" w:rsidP="00ED47BF">
      <w:pPr>
        <w:spacing w:line="360" w:lineRule="auto"/>
        <w:jc w:val="both"/>
        <w:rPr>
          <w:rFonts w:ascii="Arial" w:hAnsi="Arial"/>
          <w:rtl/>
        </w:rPr>
      </w:pPr>
      <w:r w:rsidRPr="004D3099">
        <w:rPr>
          <w:rFonts w:ascii="Arial" w:hAnsi="Arial"/>
          <w:rtl/>
        </w:rPr>
        <w:t xml:space="preserve">עוד </w:t>
      </w:r>
      <w:r w:rsidR="00ED47BF">
        <w:rPr>
          <w:rFonts w:ascii="Arial" w:hAnsi="Arial" w:hint="cs"/>
          <w:rtl/>
        </w:rPr>
        <w:t>מוצא בית המשפט להשית</w:t>
      </w:r>
      <w:r w:rsidRPr="004D3099">
        <w:rPr>
          <w:rFonts w:ascii="Arial" w:hAnsi="Arial"/>
          <w:rtl/>
        </w:rPr>
        <w:t xml:space="preserve"> על הנאשם מאסר על תנאי </w:t>
      </w:r>
      <w:r w:rsidR="00246AC1">
        <w:rPr>
          <w:rFonts w:ascii="Arial" w:hAnsi="Arial" w:hint="cs"/>
          <w:rtl/>
        </w:rPr>
        <w:t>ועיצומים כספיים בדמות קנס והתחייבות להימנע מעבירה.</w:t>
      </w:r>
    </w:p>
    <w:p w:rsidR="00945BD5" w:rsidRDefault="00945BD5">
      <w:pPr>
        <w:spacing w:line="360" w:lineRule="auto"/>
        <w:jc w:val="both"/>
        <w:rPr>
          <w:rFonts w:ascii="Arial" w:hAnsi="Arial"/>
          <w:noProof w:val="0"/>
          <w:rtl/>
        </w:rPr>
      </w:pPr>
    </w:p>
    <w:p w:rsidR="00945BD5" w:rsidRPr="00074311" w:rsidRDefault="00074311">
      <w:pPr>
        <w:spacing w:line="360" w:lineRule="auto"/>
        <w:jc w:val="both"/>
        <w:rPr>
          <w:rFonts w:ascii="Arial" w:hAnsi="Arial"/>
          <w:noProof w:val="0"/>
          <w:rtl/>
        </w:rPr>
      </w:pPr>
      <w:r>
        <w:rPr>
          <w:rFonts w:ascii="Arial" w:hAnsi="Arial" w:hint="cs"/>
          <w:b/>
          <w:bCs/>
          <w:noProof w:val="0"/>
          <w:rtl/>
        </w:rPr>
        <w:t>סיכום</w:t>
      </w:r>
    </w:p>
    <w:p w:rsidR="00694556" w:rsidRDefault="00694556">
      <w:pPr>
        <w:spacing w:line="360" w:lineRule="auto"/>
        <w:jc w:val="both"/>
        <w:rPr>
          <w:rFonts w:ascii="Arial" w:hAnsi="Arial"/>
          <w:noProof w:val="0"/>
          <w:rtl/>
        </w:rPr>
      </w:pPr>
    </w:p>
    <w:p w:rsidR="004D3099" w:rsidRPr="004D3099" w:rsidRDefault="004D3099" w:rsidP="004D3099">
      <w:pPr>
        <w:spacing w:line="360" w:lineRule="auto"/>
        <w:jc w:val="both"/>
        <w:rPr>
          <w:rFonts w:ascii="Arial" w:hAnsi="Arial"/>
        </w:rPr>
      </w:pPr>
      <w:r w:rsidRPr="004D3099">
        <w:rPr>
          <w:rFonts w:ascii="Arial" w:hAnsi="Arial"/>
          <w:rtl/>
        </w:rPr>
        <w:t>לאחר שבית המשפט עיין בטיעוני הצדדים ושמע טענותיהם על פה; עיין בתסקיר שירות המבחן; עיין בפסיקה שהוגשה; גוזר על הנאשם את העונשים כדלקמן:</w:t>
      </w:r>
    </w:p>
    <w:p w:rsidR="004D3099" w:rsidRPr="004D3099" w:rsidRDefault="004D3099" w:rsidP="004D3099">
      <w:pPr>
        <w:spacing w:line="360" w:lineRule="auto"/>
        <w:jc w:val="both"/>
        <w:rPr>
          <w:rFonts w:ascii="Arial" w:hAnsi="Arial"/>
          <w:rtl/>
        </w:rPr>
      </w:pPr>
    </w:p>
    <w:p w:rsidR="004D3099" w:rsidRPr="00455245" w:rsidRDefault="00D305F0" w:rsidP="00455245">
      <w:pPr>
        <w:numPr>
          <w:ilvl w:val="0"/>
          <w:numId w:val="1"/>
        </w:numPr>
        <w:spacing w:line="360" w:lineRule="auto"/>
        <w:jc w:val="both"/>
        <w:rPr>
          <w:rFonts w:ascii="Arial" w:hAnsi="Arial"/>
        </w:rPr>
      </w:pPr>
      <w:r>
        <w:rPr>
          <w:rFonts w:ascii="Arial" w:hAnsi="Arial" w:hint="cs"/>
          <w:rtl/>
        </w:rPr>
        <w:t>15</w:t>
      </w:r>
      <w:r w:rsidR="00455245" w:rsidRPr="00455245">
        <w:rPr>
          <w:rFonts w:ascii="Arial" w:hAnsi="Arial" w:hint="cs"/>
          <w:rtl/>
        </w:rPr>
        <w:t xml:space="preserve"> חודשים</w:t>
      </w:r>
      <w:r w:rsidR="00246AC1" w:rsidRPr="00455245">
        <w:rPr>
          <w:rFonts w:ascii="Arial" w:hAnsi="Arial" w:hint="cs"/>
          <w:rtl/>
        </w:rPr>
        <w:t xml:space="preserve"> </w:t>
      </w:r>
      <w:r w:rsidR="004D3099" w:rsidRPr="00455245">
        <w:rPr>
          <w:rFonts w:ascii="Arial" w:hAnsi="Arial"/>
          <w:rtl/>
        </w:rPr>
        <w:t>מאסר בפועל, בניכוי ימי מעצרו בתיק זה בלבד, על פי רישומי שב"ס;</w:t>
      </w:r>
    </w:p>
    <w:p w:rsidR="004D3099" w:rsidRDefault="00455245" w:rsidP="00455245">
      <w:pPr>
        <w:numPr>
          <w:ilvl w:val="0"/>
          <w:numId w:val="1"/>
        </w:numPr>
        <w:spacing w:line="360" w:lineRule="auto"/>
        <w:jc w:val="both"/>
        <w:rPr>
          <w:rFonts w:ascii="Arial" w:hAnsi="Arial"/>
        </w:rPr>
      </w:pPr>
      <w:r>
        <w:rPr>
          <w:rFonts w:ascii="Arial" w:hAnsi="Arial" w:hint="cs"/>
          <w:sz w:val="2"/>
          <w:szCs w:val="2"/>
          <w:rtl/>
        </w:rPr>
        <w:t>1</w:t>
      </w:r>
      <w:r>
        <w:rPr>
          <w:rFonts w:ascii="Arial" w:hAnsi="Arial" w:hint="cs"/>
          <w:rtl/>
        </w:rPr>
        <w:t xml:space="preserve">12 חודשים </w:t>
      </w:r>
      <w:r w:rsidR="004D3099" w:rsidRPr="004D3099">
        <w:rPr>
          <w:rFonts w:ascii="Arial" w:hAnsi="Arial"/>
          <w:rtl/>
        </w:rPr>
        <w:t>מאסר על תנאי למשך 3 שנים מיום שחרורו של הנאשם ממאסרו, שהנאשם לא יעבור עבירה בניגוד ל</w:t>
      </w:r>
      <w:hyperlink r:id="rId18" w:history="1">
        <w:r w:rsidR="004D3099" w:rsidRPr="004D3099">
          <w:rPr>
            <w:rFonts w:ascii="Arial" w:hAnsi="Arial"/>
            <w:noProof w:val="0"/>
            <w:rtl/>
          </w:rPr>
          <w:t>חוק העונשין</w:t>
        </w:r>
      </w:hyperlink>
      <w:r w:rsidR="004D3099" w:rsidRPr="004D3099">
        <w:rPr>
          <w:rFonts w:ascii="Arial" w:hAnsi="Arial"/>
          <w:rtl/>
        </w:rPr>
        <w:t xml:space="preserve">, תשל"ז – 1977, פרק </w:t>
      </w:r>
      <w:hyperlink r:id="rId19" w:history="1">
        <w:r w:rsidR="004D3099" w:rsidRPr="004D3099">
          <w:rPr>
            <w:rFonts w:ascii="Arial" w:hAnsi="Arial"/>
            <w:noProof w:val="0"/>
            <w:rtl/>
          </w:rPr>
          <w:t>ח' סימן ח';</w:t>
        </w:r>
      </w:hyperlink>
    </w:p>
    <w:p w:rsidR="00246AC1" w:rsidRPr="004D3099" w:rsidRDefault="00246AC1" w:rsidP="00D305F0">
      <w:pPr>
        <w:numPr>
          <w:ilvl w:val="0"/>
          <w:numId w:val="1"/>
        </w:numPr>
        <w:spacing w:line="360" w:lineRule="auto"/>
        <w:jc w:val="both"/>
        <w:rPr>
          <w:rFonts w:ascii="Arial" w:hAnsi="Arial"/>
          <w:rtl/>
        </w:rPr>
      </w:pPr>
      <w:r w:rsidRPr="00246AC1">
        <w:rPr>
          <w:rFonts w:ascii="Arial" w:hAnsi="Arial"/>
          <w:noProof w:val="0"/>
          <w:rtl/>
        </w:rPr>
        <w:t xml:space="preserve">קנס בסך </w:t>
      </w:r>
      <w:r w:rsidR="00D305F0">
        <w:rPr>
          <w:rFonts w:ascii="Arial" w:hAnsi="Arial" w:hint="cs"/>
          <w:noProof w:val="0"/>
          <w:rtl/>
        </w:rPr>
        <w:t>15</w:t>
      </w:r>
      <w:r w:rsidRPr="00246AC1">
        <w:rPr>
          <w:rFonts w:ascii="Arial" w:hAnsi="Arial"/>
          <w:noProof w:val="0"/>
          <w:rtl/>
        </w:rPr>
        <w:t xml:space="preserve">,000 ₪ או </w:t>
      </w:r>
      <w:r w:rsidR="00D305F0">
        <w:rPr>
          <w:rFonts w:ascii="Arial" w:hAnsi="Arial" w:hint="cs"/>
          <w:noProof w:val="0"/>
          <w:rtl/>
        </w:rPr>
        <w:t>90</w:t>
      </w:r>
      <w:r w:rsidRPr="00246AC1">
        <w:rPr>
          <w:rFonts w:ascii="Arial" w:hAnsi="Arial"/>
          <w:noProof w:val="0"/>
          <w:rtl/>
        </w:rPr>
        <w:t xml:space="preserve"> ימי מאסר תמורתו. הקנס ישולם בחמישה שיעורים שווים ורצופים, החל מיום 15.1</w:t>
      </w:r>
      <w:r>
        <w:rPr>
          <w:rFonts w:ascii="Arial" w:hAnsi="Arial" w:hint="cs"/>
          <w:noProof w:val="0"/>
          <w:rtl/>
        </w:rPr>
        <w:t>2</w:t>
      </w:r>
      <w:r w:rsidRPr="00246AC1">
        <w:rPr>
          <w:rFonts w:ascii="Arial" w:hAnsi="Arial"/>
          <w:noProof w:val="0"/>
          <w:rtl/>
        </w:rPr>
        <w:t>.2</w:t>
      </w:r>
      <w:r>
        <w:rPr>
          <w:rFonts w:ascii="Arial" w:hAnsi="Arial" w:hint="cs"/>
          <w:noProof w:val="0"/>
          <w:rtl/>
        </w:rPr>
        <w:t>4</w:t>
      </w:r>
      <w:r w:rsidRPr="00246AC1">
        <w:rPr>
          <w:rFonts w:ascii="Arial" w:hAnsi="Arial"/>
          <w:noProof w:val="0"/>
          <w:rtl/>
        </w:rPr>
        <w:t xml:space="preserve"> ובכל 15 לחודש שלאחר מכן. לא יועבר אחד התשלומים במועד – תעמוד היתרה לפירעון מידי</w:t>
      </w:r>
      <w:r>
        <w:rPr>
          <w:rFonts w:ascii="Arial" w:hAnsi="Arial" w:hint="cs"/>
          <w:rtl/>
        </w:rPr>
        <w:t>.</w:t>
      </w:r>
    </w:p>
    <w:p w:rsidR="004D3099" w:rsidRPr="004D3099" w:rsidRDefault="004D3099" w:rsidP="00D305F0">
      <w:pPr>
        <w:numPr>
          <w:ilvl w:val="0"/>
          <w:numId w:val="1"/>
        </w:numPr>
        <w:spacing w:line="360" w:lineRule="auto"/>
        <w:jc w:val="both"/>
        <w:rPr>
          <w:rFonts w:ascii="Arial" w:hAnsi="Arial"/>
          <w:rtl/>
        </w:rPr>
      </w:pPr>
      <w:r w:rsidRPr="004D3099">
        <w:rPr>
          <w:rFonts w:ascii="Arial" w:hAnsi="Arial"/>
          <w:sz w:val="2"/>
          <w:szCs w:val="2"/>
          <w:rtl/>
        </w:rPr>
        <w:t>54678313</w:t>
      </w:r>
      <w:r w:rsidRPr="004D3099">
        <w:rPr>
          <w:rFonts w:ascii="Arial" w:hAnsi="Arial"/>
          <w:rtl/>
        </w:rPr>
        <w:t xml:space="preserve">הנאשם יצהיר על התחייבות בסך </w:t>
      </w:r>
      <w:r w:rsidR="00D305F0">
        <w:rPr>
          <w:rFonts w:ascii="Arial" w:hAnsi="Arial" w:hint="cs"/>
          <w:rtl/>
        </w:rPr>
        <w:t>15</w:t>
      </w:r>
      <w:r w:rsidRPr="004D3099">
        <w:rPr>
          <w:rFonts w:ascii="Arial" w:hAnsi="Arial"/>
          <w:rtl/>
        </w:rPr>
        <w:t>,</w:t>
      </w:r>
      <w:r w:rsidR="00D305F0">
        <w:rPr>
          <w:rFonts w:ascii="Arial" w:hAnsi="Arial" w:hint="cs"/>
          <w:rtl/>
        </w:rPr>
        <w:t>0</w:t>
      </w:r>
      <w:r w:rsidRPr="004D3099">
        <w:rPr>
          <w:rFonts w:ascii="Arial" w:hAnsi="Arial"/>
          <w:rtl/>
        </w:rPr>
        <w:t xml:space="preserve">00 ₪ להימנע, בתוך שלוש שנים ממועד שחרורו ממאסר, מכל עבירה המפעילה את </w:t>
      </w:r>
      <w:r w:rsidR="00D305F0">
        <w:rPr>
          <w:rFonts w:ascii="Arial" w:hAnsi="Arial" w:hint="cs"/>
          <w:rtl/>
        </w:rPr>
        <w:t>המאסר המותנה</w:t>
      </w:r>
      <w:r w:rsidRPr="004D3099">
        <w:rPr>
          <w:rFonts w:ascii="Arial" w:hAnsi="Arial"/>
          <w:rtl/>
        </w:rPr>
        <w:t xml:space="preserve"> הנקוב בסעיף ב' לעיל. לא יצהיר הנאשם על ההתחייבות היום – ייאסר למשך </w:t>
      </w:r>
      <w:r w:rsidR="00246AC1">
        <w:rPr>
          <w:rFonts w:ascii="Arial" w:hAnsi="Arial" w:hint="cs"/>
          <w:rtl/>
        </w:rPr>
        <w:t>21</w:t>
      </w:r>
      <w:r w:rsidRPr="004D3099">
        <w:rPr>
          <w:rFonts w:ascii="Arial" w:hAnsi="Arial"/>
          <w:rtl/>
        </w:rPr>
        <w:t xml:space="preserve"> יום.</w:t>
      </w:r>
    </w:p>
    <w:p w:rsidR="00694556" w:rsidRDefault="00694556">
      <w:pPr>
        <w:spacing w:line="360" w:lineRule="auto"/>
        <w:jc w:val="both"/>
        <w:rPr>
          <w:rFonts w:ascii="Arial" w:hAnsi="Arial"/>
          <w:noProof w:val="0"/>
          <w:rtl/>
        </w:rPr>
      </w:pPr>
    </w:p>
    <w:p w:rsidR="004542E9" w:rsidRDefault="004542E9">
      <w:pPr>
        <w:spacing w:line="360" w:lineRule="auto"/>
        <w:jc w:val="both"/>
        <w:rPr>
          <w:rFonts w:ascii="Arial" w:hAnsi="Arial"/>
          <w:noProof w:val="0"/>
          <w:rtl/>
        </w:rPr>
      </w:pPr>
      <w:r>
        <w:rPr>
          <w:rFonts w:ascii="Arial" w:hAnsi="Arial" w:hint="cs"/>
          <w:noProof w:val="0"/>
          <w:rtl/>
        </w:rPr>
        <w:t>הנאשם יתייצב לריצוי עונשו כעת.</w:t>
      </w:r>
    </w:p>
    <w:p w:rsidR="004542E9" w:rsidRDefault="004542E9">
      <w:pPr>
        <w:spacing w:line="360" w:lineRule="auto"/>
        <w:jc w:val="both"/>
        <w:rPr>
          <w:rFonts w:ascii="Arial" w:hAnsi="Arial"/>
          <w:noProof w:val="0"/>
          <w:rtl/>
        </w:rPr>
      </w:pPr>
    </w:p>
    <w:p w:rsidR="004542E9" w:rsidRDefault="004542E9">
      <w:pPr>
        <w:spacing w:line="360" w:lineRule="auto"/>
        <w:jc w:val="both"/>
        <w:rPr>
          <w:rFonts w:ascii="Arial" w:hAnsi="Arial"/>
          <w:noProof w:val="0"/>
          <w:rtl/>
        </w:rPr>
      </w:pPr>
      <w:r>
        <w:rPr>
          <w:rFonts w:ascii="Arial" w:hAnsi="Arial" w:hint="cs"/>
          <w:noProof w:val="0"/>
          <w:rtl/>
        </w:rPr>
        <w:t>הודעה זכות הערעור.</w:t>
      </w:r>
    </w:p>
    <w:p w:rsidR="00694556" w:rsidRDefault="00694556">
      <w:pPr>
        <w:spacing w:line="360" w:lineRule="auto"/>
        <w:jc w:val="both"/>
        <w:rPr>
          <w:rFonts w:ascii="Arial" w:hAnsi="Arial"/>
          <w:noProof w:val="0"/>
          <w:rtl/>
        </w:rPr>
      </w:pPr>
    </w:p>
    <w:p w:rsidR="00694556" w:rsidRDefault="0043502B" w:rsidP="000A0B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99999534"/>
          <w:text w:multiLine="1"/>
        </w:sdtPr>
        <w:sdtEndPr/>
        <w:sdtContent>
          <w:r>
            <w:rPr>
              <w:rFonts w:ascii="Arial" w:hAnsi="Arial" w:hint="cs"/>
              <w:noProof w:val="0"/>
              <w:rtl/>
            </w:rPr>
            <w:t>ט"ז חשוון תשפ"ה</w:t>
          </w:r>
        </w:sdtContent>
      </w:sdt>
      <w:r w:rsidR="00005C8B">
        <w:rPr>
          <w:rFonts w:ascii="Arial" w:hAnsi="Arial"/>
          <w:noProof w:val="0"/>
          <w:rtl/>
        </w:rPr>
        <w:t xml:space="preserve">, </w:t>
      </w:r>
      <w:sdt>
        <w:sdtPr>
          <w:rPr>
            <w:rtl/>
          </w:rPr>
          <w:alias w:val="1456"/>
          <w:tag w:val="1456"/>
          <w:id w:val="-1705859706"/>
          <w:text w:multiLine="1"/>
        </w:sdtPr>
        <w:sdtEndPr/>
        <w:sdtContent>
          <w:r>
            <w:rPr>
              <w:rFonts w:ascii="Arial" w:hAnsi="Arial" w:hint="cs"/>
              <w:noProof w:val="0"/>
              <w:rtl/>
            </w:rPr>
            <w:t>17 נובמבר 2024</w:t>
          </w:r>
        </w:sdtContent>
      </w:sdt>
      <w:r w:rsidR="00005C8B">
        <w:rPr>
          <w:rFonts w:ascii="Arial" w:hAnsi="Arial"/>
          <w:noProof w:val="0"/>
          <w:rtl/>
        </w:rPr>
        <w:t>, ב</w:t>
      </w:r>
      <w:r w:rsidR="000A0BA7">
        <w:rPr>
          <w:rFonts w:ascii="Arial" w:hAnsi="Arial" w:hint="cs"/>
          <w:noProof w:val="0"/>
          <w:rtl/>
        </w:rPr>
        <w:t>מעמד</w:t>
      </w:r>
      <w:r w:rsidR="00005C8B">
        <w:rPr>
          <w:rFonts w:ascii="Arial" w:hAnsi="Arial"/>
          <w:noProof w:val="0"/>
          <w:rtl/>
        </w:rPr>
        <w:t xml:space="preserve"> הצדדים.</w:t>
      </w:r>
    </w:p>
    <w:p w:rsidR="00694556" w:rsidRDefault="00694556">
      <w:pPr>
        <w:spacing w:line="360" w:lineRule="auto"/>
        <w:jc w:val="both"/>
        <w:rPr>
          <w:rFonts w:ascii="Arial" w:hAnsi="Arial"/>
          <w:noProof w:val="0"/>
          <w:rtl/>
        </w:rPr>
      </w:pPr>
    </w:p>
    <w:p w:rsidR="00694556" w:rsidRDefault="00467F6C" w:rsidP="00FD1419">
      <w:pPr>
        <w:spacing w:line="360" w:lineRule="auto"/>
        <w:ind w:left="3600" w:firstLine="720"/>
        <w:jc w:val="center"/>
      </w:pPr>
      <w:sdt>
        <w:sdtPr>
          <w:rPr>
            <w:rtl/>
          </w:rPr>
          <w:alias w:val="MergeField"/>
          <w:tag w:val="1237"/>
          <w:id w:val="-847706503"/>
        </w:sdtPr>
        <w:sdtEndPr/>
        <w:sdtContent>
          <w:r w:rsidR="00C0079F">
            <w:drawing>
              <wp:inline distT="0" distB="0" distL="0" distR="0" wp14:editId="50D07946">
                <wp:extent cx="20002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0" cstate="print">
                          <a:extLst/>
                        </a:blip>
                        <a:stretch>
                          <a:fillRect/>
                        </a:stretch>
                      </pic:blipFill>
                      <pic:spPr>
                        <a:xfrm>
                          <a:off x="0" y="0"/>
                          <a:ext cx="2000250" cy="895350"/>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even" r:id="rId21"/>
      <w:headerReference w:type="default" r:id="rId22"/>
      <w:footerReference w:type="even" r:id="rId23"/>
      <w:footerReference w:type="default" r:id="rId24"/>
      <w:headerReference w:type="first" r:id="rId25"/>
      <w:footerReference w:type="first" r:id="rId26"/>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F6C" w:rsidRDefault="00467F6C">
      <w:r>
        <w:separator/>
      </w:r>
    </w:p>
  </w:endnote>
  <w:endnote w:type="continuationSeparator" w:id="0">
    <w:p w:rsidR="00467F6C" w:rsidRDefault="0046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76E" w:rsidRDefault="009E076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9407D">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E076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E076E">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76E" w:rsidRDefault="009E076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F6C" w:rsidRDefault="00467F6C">
      <w:r>
        <w:separator/>
      </w:r>
    </w:p>
  </w:footnote>
  <w:footnote w:type="continuationSeparator" w:id="0">
    <w:p w:rsidR="00467F6C" w:rsidRDefault="00467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76E" w:rsidRDefault="009E076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E2AA1">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1"/>
      <w:gridCol w:w="4154"/>
    </w:tblGrid>
    <w:tr w:rsidR="00694556" w:rsidTr="00686C21">
      <w:trPr>
        <w:trHeight w:hRule="exact" w:val="704"/>
        <w:jc w:val="center"/>
      </w:trPr>
      <w:sdt>
        <w:sdtPr>
          <w:rPr>
            <w:rtl/>
          </w:rPr>
          <w:alias w:val="1174"/>
          <w:tag w:val="1174"/>
          <w:id w:val="-1313327193"/>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השלום בבאר שבע</w:t>
              </w:r>
            </w:p>
            <w:p w:rsidR="00694556" w:rsidRDefault="00694556">
              <w:pPr>
                <w:pStyle w:val="a3"/>
                <w:jc w:val="center"/>
                <w:rPr>
                  <w:rFonts w:ascii="Tahoma" w:hAnsi="Tahoma" w:cs="Tahoma"/>
                  <w:noProof w:val="0"/>
                  <w:color w:val="000080"/>
                  <w:rtl/>
                </w:rPr>
              </w:pPr>
            </w:p>
          </w:tc>
        </w:sdtContent>
      </w:sdt>
    </w:tr>
    <w:tr w:rsidR="00694556" w:rsidTr="008B232E">
      <w:trPr>
        <w:trHeight w:val="337"/>
        <w:jc w:val="center"/>
      </w:trPr>
      <w:tc>
        <w:tcPr>
          <w:tcW w:w="4473" w:type="dxa"/>
        </w:tcPr>
        <w:p w:rsidR="00694556" w:rsidRDefault="00694556">
          <w:pPr>
            <w:rPr>
              <w:b/>
              <w:bCs/>
              <w:noProof w:val="0"/>
              <w:sz w:val="26"/>
              <w:szCs w:val="26"/>
              <w:rtl/>
            </w:rPr>
          </w:pPr>
        </w:p>
      </w:tc>
      <w:tc>
        <w:tcPr>
          <w:tcW w:w="4248" w:type="dxa"/>
        </w:tcPr>
        <w:sdt>
          <w:sdtPr>
            <w:rPr>
              <w:rtl/>
            </w:rPr>
            <w:alias w:val="1455"/>
            <w:tag w:val="1455"/>
            <w:id w:val="1466245481"/>
            <w:text w:multiLine="1"/>
          </w:sdtPr>
          <w:sdtEndPr/>
          <w:sdtContent>
            <w:p w:rsidR="00A6446D" w:rsidRDefault="00C0079F">
              <w:pPr>
                <w:pStyle w:val="a3"/>
                <w:jc w:val="right"/>
                <w:rPr>
                  <w:b/>
                  <w:bCs/>
                  <w:noProof w:val="0"/>
                  <w:sz w:val="26"/>
                  <w:szCs w:val="26"/>
                  <w:rtl/>
                </w:rPr>
              </w:pPr>
              <w:r>
                <w:rPr>
                  <w:rFonts w:hint="cs"/>
                  <w:b/>
                  <w:bCs/>
                  <w:noProof w:val="0"/>
                  <w:sz w:val="26"/>
                  <w:szCs w:val="26"/>
                  <w:rtl/>
                </w:rPr>
                <w:t>ט"ז חשוון תשפ"ה</w:t>
              </w:r>
            </w:p>
          </w:sdtContent>
        </w:sdt>
        <w:sdt>
          <w:sdtPr>
            <w:rPr>
              <w:rtl/>
            </w:rPr>
            <w:alias w:val="1456"/>
            <w:tag w:val="1456"/>
            <w:id w:val="211463919"/>
            <w:text w:multiLine="1"/>
          </w:sdtPr>
          <w:sdtEndPr/>
          <w:sdtContent>
            <w:p w:rsidR="00A6446D" w:rsidRDefault="00C0079F">
              <w:pPr>
                <w:pStyle w:val="a3"/>
                <w:jc w:val="right"/>
                <w:rPr>
                  <w:b/>
                  <w:bCs/>
                  <w:noProof w:val="0"/>
                  <w:sz w:val="26"/>
                  <w:szCs w:val="26"/>
                  <w:rtl/>
                </w:rPr>
              </w:pPr>
              <w:r>
                <w:rPr>
                  <w:rFonts w:hint="cs"/>
                  <w:b/>
                  <w:bCs/>
                  <w:noProof w:val="0"/>
                  <w:sz w:val="26"/>
                  <w:szCs w:val="26"/>
                  <w:rtl/>
                </w:rPr>
                <w:t>17 נובמבר 2024</w:t>
              </w:r>
            </w:p>
          </w:sdtContent>
        </w:sdt>
      </w:tc>
    </w:tr>
    <w:tr w:rsidR="00694556">
      <w:trPr>
        <w:trHeight w:val="337"/>
        <w:jc w:val="center"/>
      </w:trPr>
      <w:tc>
        <w:tcPr>
          <w:tcW w:w="8721" w:type="dxa"/>
          <w:gridSpan w:val="2"/>
        </w:tcPr>
        <w:p w:rsidR="00694556" w:rsidRDefault="00467F6C" w:rsidP="00F60B6B">
          <w:pPr>
            <w:rPr>
              <w:b/>
              <w:bCs/>
              <w:noProof w:val="0"/>
              <w:sz w:val="26"/>
              <w:szCs w:val="26"/>
              <w:rtl/>
            </w:rPr>
          </w:pPr>
          <w:sdt>
            <w:sdtPr>
              <w:rPr>
                <w:rtl/>
              </w:rPr>
              <w:alias w:val="1170"/>
              <w:tag w:val="1170"/>
              <w:id w:val="1486206389"/>
              <w:text w:multiLine="1"/>
            </w:sdtPr>
            <w:sdtEndPr/>
            <w:sdtContent>
              <w:r w:rsidR="00836E92">
                <w:rPr>
                  <w:b/>
                  <w:bCs/>
                  <w:noProof w:val="0"/>
                  <w:sz w:val="26"/>
                  <w:szCs w:val="26"/>
                  <w:rtl/>
                </w:rPr>
                <w:t>ת"פ</w:t>
              </w:r>
            </w:sdtContent>
          </w:sdt>
          <w:r w:rsidR="00005C8B">
            <w:rPr>
              <w:b/>
              <w:bCs/>
              <w:noProof w:val="0"/>
              <w:sz w:val="26"/>
              <w:szCs w:val="26"/>
              <w:rtl/>
            </w:rPr>
            <w:t xml:space="preserve"> </w:t>
          </w:r>
          <w:bookmarkStart w:id="0" w:name="_GoBack"/>
          <w:sdt>
            <w:sdtPr>
              <w:rPr>
                <w:rtl/>
              </w:rPr>
              <w:alias w:val="1171"/>
              <w:tag w:val="1171"/>
              <w:id w:val="1099677722"/>
              <w:text w:multiLine="1"/>
            </w:sdtPr>
            <w:sdtEndPr/>
            <w:sdtContent>
              <w:r w:rsidR="00836E92">
                <w:rPr>
                  <w:b/>
                  <w:bCs/>
                  <w:noProof w:val="0"/>
                  <w:sz w:val="26"/>
                  <w:szCs w:val="26"/>
                  <w:rtl/>
                </w:rPr>
                <w:t>32355-02-18</w:t>
              </w:r>
            </w:sdtContent>
          </w:sdt>
          <w:bookmarkEnd w:id="0"/>
          <w:r w:rsidR="00005C8B">
            <w:rPr>
              <w:b/>
              <w:bCs/>
              <w:noProof w:val="0"/>
              <w:sz w:val="26"/>
              <w:szCs w:val="26"/>
              <w:rtl/>
            </w:rPr>
            <w:t xml:space="preserve"> </w:t>
          </w:r>
          <w:sdt>
            <w:sdtPr>
              <w:rPr>
                <w:rtl/>
              </w:rPr>
              <w:alias w:val="1172"/>
              <w:tag w:val="1172"/>
              <w:id w:val="158362075"/>
              <w:text w:multiLine="1"/>
            </w:sdtPr>
            <w:sdtEndPr/>
            <w:sdtContent>
              <w:r w:rsidR="00836E92">
                <w:rPr>
                  <w:b/>
                  <w:bCs/>
                  <w:noProof w:val="0"/>
                  <w:sz w:val="26"/>
                  <w:szCs w:val="26"/>
                  <w:rtl/>
                </w:rPr>
                <w:t xml:space="preserve">מדינת ישראל נ' </w:t>
              </w:r>
              <w:r w:rsidR="00F60B6B">
                <w:rPr>
                  <w:rFonts w:hint="cs"/>
                  <w:b/>
                  <w:bCs/>
                  <w:noProof w:val="0"/>
                  <w:sz w:val="26"/>
                  <w:szCs w:val="26"/>
                  <w:rtl/>
                </w:rPr>
                <w:t>פלוני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83459976"/>
              <w:text w:multiLine="1"/>
            </w:sdtPr>
            <w:sdtEndPr/>
            <w:sdtContent>
              <w:r>
                <w:rPr>
                  <w:sz w:val="20"/>
                  <w:szCs w:val="20"/>
                </w:rPr>
                <w:t>342783/2017</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76E" w:rsidRDefault="009E07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F2FB6"/>
    <w:multiLevelType w:val="hybridMultilevel"/>
    <w:tmpl w:val="79BC9CAE"/>
    <w:lvl w:ilvl="0" w:tplc="B7FA6E1A">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3D6756"/>
    <w:multiLevelType w:val="hybridMultilevel"/>
    <w:tmpl w:val="33720514"/>
    <w:lvl w:ilvl="0" w:tplc="04090013">
      <w:start w:val="1"/>
      <w:numFmt w:val="hebrew1"/>
      <w:lvlText w:val="%1."/>
      <w:lvlJc w:val="center"/>
      <w:pPr>
        <w:ind w:left="720" w:hanging="360"/>
      </w:p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2393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239383&amp;lt;/CaseID&amp;gt;_x000d__x000a_        &amp;lt;CaseMonth&amp;gt;2&amp;lt;/CaseMonth&amp;gt;_x000d__x000a_        &amp;lt;CaseYear&amp;gt;2018&amp;lt;/CaseYear&amp;gt;_x000d__x000a_        &amp;lt;CaseNumber&amp;gt;32355&amp;lt;/CaseNumber&amp;gt;_x000d__x000a_        &amp;lt;NumeratorGroupID&amp;gt;1&amp;lt;/NumeratorGroupID&amp;gt;_x000d__x000a_        &amp;lt;CaseName&amp;gt;מדינת ישראל נ&amp;#39; וקילי&amp;lt;/CaseName&amp;gt;_x000d__x000a_        &amp;lt;CourtID&amp;gt;41&amp;lt;/CourtID&amp;gt;_x000d__x000a_        &amp;lt;CaseTypeID&amp;gt;10048&amp;lt;/CaseTypeID&amp;gt;_x000d__x000a_        &amp;lt;CaseJudgeName&amp;gt;רון סולקי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32355-02-18&amp;lt;/CaseDisplayIdentifier&amp;gt;_x000d__x000a_        &amp;lt;CaseTypeDesc&amp;gt;ת&amp;quot;פ&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18-02-14T14:16: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רון&amp;lt;/CaseJudgeFirstName&amp;gt;_x000d__x000a_        &amp;lt;CaseJudgeLastName&amp;gt;סולקין&amp;lt;/CaseJudgeLastName&amp;gt;_x000d__x000a_        &amp;lt;JudicalPersonID&amp;gt;025491861@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IsMainCase&amp;gt;false&amp;lt;/IsMainCase&amp;gt;_x000d__x000a_        &amp;lt;CaseDesc&amp;gt;החלטה מיום 27.10.24 נשלחה לצדדים_x000d__x000a_הודע טלפונית לפמ&amp;quot;ד(מיכל) , ב&amp;quot;כ הנאשם צפה בנט.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239383&amp;lt;/CaseID&amp;gt;_x000d__x000a_        &amp;lt;CaseMonth&amp;gt;2&amp;lt;/CaseMonth&amp;gt;_x000d__x000a_        &amp;lt;CaseYear&amp;gt;2018&amp;lt;/CaseYear&amp;gt;_x000d__x000a_        &amp;lt;CaseNumber&amp;gt;32355&amp;lt;/CaseNumber&amp;gt;_x000d__x000a_        &amp;lt;NumeratorGroupID&amp;gt;1&amp;lt;/NumeratorGroupID&amp;gt;_x000d__x000a_        &amp;lt;CaseName&amp;gt;מדינת ישראל נ&amp;#39; וקילי&amp;lt;/CaseName&amp;gt;_x000d__x000a_        &amp;lt;CourtID&amp;gt;41&amp;lt;/CourtID&amp;gt;_x000d__x000a_        &amp;lt;CaseTypeID&amp;gt;10048&amp;lt;/CaseTypeID&amp;gt;_x000d__x000a_        &amp;lt;CaseJudgeName&amp;gt;רון סולקי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32355-02-18&amp;lt;/CaseDisplayIdentifier&amp;gt;_x000d__x000a_        &amp;lt;CaseTypeDesc&amp;gt;ת&amp;quot;פ&amp;lt;/CaseTypeDesc&amp;gt;_x000d__x000a_        &amp;lt;CourtDesc&amp;gt;שלום באר שבע&amp;lt;/CourtDesc&amp;gt;_x000d__x000a_        &amp;lt;CaseStageDesc&amp;gt;תיק אלקטרוני&amp;lt;/CaseStageDesc&amp;gt;_x000d__x000a_        &amp;lt;CaseNextDeterminingTask&amp;gt;150&amp;lt;/CaseNextDeterminingTask&amp;gt;_x000d__x000a_        &amp;lt;CaseOpenDate&amp;gt;2018-02-14T14:16: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רון&amp;lt;/CaseJudgeFirstName&amp;gt;_x000d__x000a_        &amp;lt;CaseJudgeLastName&amp;gt;סולקין&amp;lt;/CaseJudgeLastName&amp;gt;_x000d__x000a_        &amp;lt;JudicalPersonID&amp;gt;025491861@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IsMainCase&amp;gt;false&amp;lt;/IsMainCase&amp;gt;_x000d__x000a_        &amp;lt;CaseDesc&amp;gt;החלטה מיום 27.10.24 נשלחה לצדדים_x000d__x000a_הודע טלפונית לפמ&amp;quot;ד(מיכל) , ב&amp;quot;כ הנאשם צפה בנט.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630682&amp;lt;/DecisionID&amp;gt;_x000d__x000a_        &amp;lt;DecisionName&amp;gt;גזר דין  שניתנה ע&amp;quot;י  רון סולקין&amp;lt;/DecisionName&amp;gt;_x000d__x000a_        &amp;lt;DecisionStatusID&amp;gt;1&amp;lt;/DecisionStatusID&amp;gt;_x000d__x000a_        &amp;lt;DecisionStatusChangeDate&amp;gt;2024-11-14T20:19:54.227+02:00&amp;lt;/DecisionStatusChangeDate&amp;gt;_x000d__x000a_        &amp;lt;DecisionSignatureDate&amp;gt;2024-10-28T09:25:24.273+02:00&amp;lt;/DecisionSignatureDate&amp;gt;_x000d__x000a_        &amp;lt;DecisionSignatureUserID&amp;gt;025491861@GOV.IL&amp;lt;/DecisionSignatureUserID&amp;gt;_x000d__x000a_        &amp;lt;DecisionCreateDate&amp;gt;2024-10-28T09:30:42.3+02:00&amp;lt;/DecisionCreateDate&amp;gt;_x000d__x000a_        &amp;lt;DecisionChangeDate&amp;gt;2024-11-14T20:19:54.31+02:00&amp;lt;/DecisionChangeDate&amp;gt;_x000d__x000a_        &amp;lt;DecisionChangeUserID&amp;gt;3051143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5861763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49186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5114316@GOV.IL&amp;lt;/DecisionCreationUserID&amp;gt;_x000d__x000a_        &amp;lt;DecisionDisplayName&amp;gt;גזר דין  שניתנה ע&amp;quot;י  רון סולקין&amp;lt;/DecisionDisplayName&amp;gt;_x000d__x000a_        &amp;lt;IsScanned&amp;gt;false&amp;lt;/IsScanned&amp;gt;_x000d__x000a_        &amp;lt;DecisionSignatureUserName&amp;gt;רון סולק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6&amp;lt;/DecisionNumberInCase&amp;gt;_x000d__x000a_      &amp;lt;/dt_Decision&amp;gt;_x000d__x000a_      &amp;lt;dt_DecisionCase diffgr:id=&amp;quot;dt_DecisionCase1&amp;quot; msdata:rowOrder=&amp;quot;0&amp;quot;&amp;gt;_x000d__x000a_        &amp;lt;DecisionID&amp;gt;155630682&amp;lt;/DecisionID&amp;gt;_x000d__x000a_        &amp;lt;CaseID&amp;gt;75239383&amp;lt;/CaseID&amp;gt;_x000d__x000a_        &amp;lt;IsOriginal&amp;gt;true&amp;lt;/IsOriginal&amp;gt;_x000d__x000a_        &amp;lt;IsDeleted&amp;gt;false&amp;lt;/IsDeleted&amp;gt;_x000d__x000a_        &amp;lt;CaseName&amp;gt;מדינת ישראל נ&amp;#39; וקילי&amp;lt;/CaseName&amp;gt;_x000d__x000a_        &amp;lt;CaseDisplayIdentifier&amp;gt;32355-02-18 ת&amp;quot;פ&amp;lt;/CaseDisplayIdentifier&amp;gt;_x000d__x000a_      &amp;lt;/dt_DecisionCase&amp;gt;_x000d__x000a_    &amp;lt;/DecisionDS&amp;gt;_x000d__x000a_  &amp;lt;/diffgr:diffgram&amp;gt;_x000d__x000a_&amp;lt;/DecisionDS&amp;gt;"/>
    <w:docVar w:name="DecisionID" w:val="155630682"/>
    <w:docVar w:name="WordClientAssemblyName" w:val="NGCS.Decision.ClientWordBL"/>
    <w:docVar w:name="WordClientClassName" w:val="NGCS.Decision.ClientWordBL.DecisionClient"/>
  </w:docVars>
  <w:rsids>
    <w:rsidRoot w:val="00694556"/>
    <w:rsid w:val="0000226B"/>
    <w:rsid w:val="0000370F"/>
    <w:rsid w:val="00005C8B"/>
    <w:rsid w:val="00006318"/>
    <w:rsid w:val="000564AB"/>
    <w:rsid w:val="00061AD2"/>
    <w:rsid w:val="00064FBD"/>
    <w:rsid w:val="00074311"/>
    <w:rsid w:val="00075C26"/>
    <w:rsid w:val="000773A8"/>
    <w:rsid w:val="00082AB2"/>
    <w:rsid w:val="00096AF7"/>
    <w:rsid w:val="00096CF1"/>
    <w:rsid w:val="000A0BA7"/>
    <w:rsid w:val="000B344B"/>
    <w:rsid w:val="000B4889"/>
    <w:rsid w:val="000C0EB7"/>
    <w:rsid w:val="000C353B"/>
    <w:rsid w:val="000C3B0F"/>
    <w:rsid w:val="000C49D0"/>
    <w:rsid w:val="000C630D"/>
    <w:rsid w:val="000E3879"/>
    <w:rsid w:val="000E3AF1"/>
    <w:rsid w:val="000E6F12"/>
    <w:rsid w:val="000F0BC8"/>
    <w:rsid w:val="00107E6D"/>
    <w:rsid w:val="0011194C"/>
    <w:rsid w:val="0011424C"/>
    <w:rsid w:val="00114F7D"/>
    <w:rsid w:val="00123F6D"/>
    <w:rsid w:val="0012710C"/>
    <w:rsid w:val="001367BC"/>
    <w:rsid w:val="001433D7"/>
    <w:rsid w:val="00144D2A"/>
    <w:rsid w:val="0014653E"/>
    <w:rsid w:val="00165759"/>
    <w:rsid w:val="00180519"/>
    <w:rsid w:val="001A31EB"/>
    <w:rsid w:val="001C4003"/>
    <w:rsid w:val="001D4DBF"/>
    <w:rsid w:val="002265FF"/>
    <w:rsid w:val="00246AC1"/>
    <w:rsid w:val="00267EDB"/>
    <w:rsid w:val="00276EEC"/>
    <w:rsid w:val="002A66BB"/>
    <w:rsid w:val="002A6DEA"/>
    <w:rsid w:val="002B3F0F"/>
    <w:rsid w:val="002C344E"/>
    <w:rsid w:val="002D02A2"/>
    <w:rsid w:val="002E0A2E"/>
    <w:rsid w:val="00307A6A"/>
    <w:rsid w:val="00307C40"/>
    <w:rsid w:val="00320433"/>
    <w:rsid w:val="0033597A"/>
    <w:rsid w:val="00362612"/>
    <w:rsid w:val="0036743F"/>
    <w:rsid w:val="003715DD"/>
    <w:rsid w:val="003823E0"/>
    <w:rsid w:val="003917FD"/>
    <w:rsid w:val="003A4521"/>
    <w:rsid w:val="003C43EF"/>
    <w:rsid w:val="003D1A17"/>
    <w:rsid w:val="0040096C"/>
    <w:rsid w:val="00422A84"/>
    <w:rsid w:val="0043125D"/>
    <w:rsid w:val="0043502B"/>
    <w:rsid w:val="0045375F"/>
    <w:rsid w:val="004542E9"/>
    <w:rsid w:val="00455245"/>
    <w:rsid w:val="00467F6C"/>
    <w:rsid w:val="004C4BDF"/>
    <w:rsid w:val="004D1187"/>
    <w:rsid w:val="004D3099"/>
    <w:rsid w:val="004E1987"/>
    <w:rsid w:val="004E2AA1"/>
    <w:rsid w:val="004E6E3C"/>
    <w:rsid w:val="00503650"/>
    <w:rsid w:val="00520898"/>
    <w:rsid w:val="005268F6"/>
    <w:rsid w:val="00547DB7"/>
    <w:rsid w:val="00551A1E"/>
    <w:rsid w:val="005D145E"/>
    <w:rsid w:val="0061431B"/>
    <w:rsid w:val="00622BAA"/>
    <w:rsid w:val="006254E9"/>
    <w:rsid w:val="006306CF"/>
    <w:rsid w:val="0064285C"/>
    <w:rsid w:val="00654C64"/>
    <w:rsid w:val="00670BAD"/>
    <w:rsid w:val="00671BD5"/>
    <w:rsid w:val="006805C1"/>
    <w:rsid w:val="00686C21"/>
    <w:rsid w:val="006931C1"/>
    <w:rsid w:val="00694556"/>
    <w:rsid w:val="006D3B31"/>
    <w:rsid w:val="006E1A53"/>
    <w:rsid w:val="00704EDA"/>
    <w:rsid w:val="00724EAE"/>
    <w:rsid w:val="00747971"/>
    <w:rsid w:val="00753019"/>
    <w:rsid w:val="00755F4F"/>
    <w:rsid w:val="00764735"/>
    <w:rsid w:val="0077345A"/>
    <w:rsid w:val="00795365"/>
    <w:rsid w:val="007A046F"/>
    <w:rsid w:val="007C014F"/>
    <w:rsid w:val="007E6115"/>
    <w:rsid w:val="007F03F6"/>
    <w:rsid w:val="007F4609"/>
    <w:rsid w:val="007F5B7F"/>
    <w:rsid w:val="007F746E"/>
    <w:rsid w:val="00807FE6"/>
    <w:rsid w:val="008176A1"/>
    <w:rsid w:val="00820005"/>
    <w:rsid w:val="00822FD0"/>
    <w:rsid w:val="008260E7"/>
    <w:rsid w:val="00836E92"/>
    <w:rsid w:val="00844318"/>
    <w:rsid w:val="00875D12"/>
    <w:rsid w:val="00896889"/>
    <w:rsid w:val="008B232E"/>
    <w:rsid w:val="008B6CBB"/>
    <w:rsid w:val="008C5714"/>
    <w:rsid w:val="008D10B2"/>
    <w:rsid w:val="008E4A02"/>
    <w:rsid w:val="008E70FC"/>
    <w:rsid w:val="00903896"/>
    <w:rsid w:val="00906F3D"/>
    <w:rsid w:val="00926709"/>
    <w:rsid w:val="00945BD5"/>
    <w:rsid w:val="00967DFF"/>
    <w:rsid w:val="0099407D"/>
    <w:rsid w:val="00994341"/>
    <w:rsid w:val="009C59E1"/>
    <w:rsid w:val="009D0748"/>
    <w:rsid w:val="009E076E"/>
    <w:rsid w:val="009F323C"/>
    <w:rsid w:val="00A05E87"/>
    <w:rsid w:val="00A3392B"/>
    <w:rsid w:val="00A62B1E"/>
    <w:rsid w:val="00A6446D"/>
    <w:rsid w:val="00A94B64"/>
    <w:rsid w:val="00A96AD7"/>
    <w:rsid w:val="00AA3229"/>
    <w:rsid w:val="00AA7596"/>
    <w:rsid w:val="00AC3B7B"/>
    <w:rsid w:val="00AC44FF"/>
    <w:rsid w:val="00AC5209"/>
    <w:rsid w:val="00AD69E4"/>
    <w:rsid w:val="00AE3402"/>
    <w:rsid w:val="00AE7752"/>
    <w:rsid w:val="00AF7FDA"/>
    <w:rsid w:val="00B52830"/>
    <w:rsid w:val="00B72FA5"/>
    <w:rsid w:val="00B80CBD"/>
    <w:rsid w:val="00B86096"/>
    <w:rsid w:val="00BA517C"/>
    <w:rsid w:val="00BB3D05"/>
    <w:rsid w:val="00BB536D"/>
    <w:rsid w:val="00BB73BE"/>
    <w:rsid w:val="00BC3D4B"/>
    <w:rsid w:val="00BF1908"/>
    <w:rsid w:val="00C0079F"/>
    <w:rsid w:val="00C22D93"/>
    <w:rsid w:val="00C26F68"/>
    <w:rsid w:val="00C34482"/>
    <w:rsid w:val="00C50702"/>
    <w:rsid w:val="00C50A9F"/>
    <w:rsid w:val="00C642FA"/>
    <w:rsid w:val="00C916EA"/>
    <w:rsid w:val="00CC6B48"/>
    <w:rsid w:val="00CC7622"/>
    <w:rsid w:val="00D27982"/>
    <w:rsid w:val="00D305F0"/>
    <w:rsid w:val="00D33B86"/>
    <w:rsid w:val="00D35A3F"/>
    <w:rsid w:val="00D47214"/>
    <w:rsid w:val="00D53924"/>
    <w:rsid w:val="00D55D0C"/>
    <w:rsid w:val="00D72D55"/>
    <w:rsid w:val="00D754E2"/>
    <w:rsid w:val="00D96D8C"/>
    <w:rsid w:val="00DA6649"/>
    <w:rsid w:val="00DA6FD1"/>
    <w:rsid w:val="00DB247C"/>
    <w:rsid w:val="00DC2571"/>
    <w:rsid w:val="00DC487C"/>
    <w:rsid w:val="00DD43AE"/>
    <w:rsid w:val="00DE61F3"/>
    <w:rsid w:val="00E1787F"/>
    <w:rsid w:val="00E25884"/>
    <w:rsid w:val="00E5426A"/>
    <w:rsid w:val="00E54642"/>
    <w:rsid w:val="00E676CB"/>
    <w:rsid w:val="00EB65D1"/>
    <w:rsid w:val="00EC37E9"/>
    <w:rsid w:val="00ED47BF"/>
    <w:rsid w:val="00EE65D5"/>
    <w:rsid w:val="00F13623"/>
    <w:rsid w:val="00F60B6B"/>
    <w:rsid w:val="00F84B6D"/>
    <w:rsid w:val="00FA40C9"/>
    <w:rsid w:val="00FB13A3"/>
    <w:rsid w:val="00FB4C89"/>
    <w:rsid w:val="00FC22A9"/>
    <w:rsid w:val="00FC7885"/>
    <w:rsid w:val="00FD1419"/>
    <w:rsid w:val="00FD4989"/>
    <w:rsid w:val="00FD79E4"/>
    <w:rsid w:val="00FD7B2F"/>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5FB3EF-9BF2-4747-8D2D-9B26AA53C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D754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552696">
      <w:bodyDiv w:val="1"/>
      <w:marLeft w:val="0"/>
      <w:marRight w:val="0"/>
      <w:marTop w:val="0"/>
      <w:marBottom w:val="0"/>
      <w:divBdr>
        <w:top w:val="none" w:sz="0" w:space="0" w:color="auto"/>
        <w:left w:val="none" w:sz="0" w:space="0" w:color="auto"/>
        <w:bottom w:val="none" w:sz="0" w:space="0" w:color="auto"/>
        <w:right w:val="none" w:sz="0" w:space="0" w:color="auto"/>
      </w:divBdr>
    </w:div>
    <w:div w:id="833298278">
      <w:bodyDiv w:val="1"/>
      <w:marLeft w:val="0"/>
      <w:marRight w:val="0"/>
      <w:marTop w:val="0"/>
      <w:marBottom w:val="0"/>
      <w:divBdr>
        <w:top w:val="none" w:sz="0" w:space="0" w:color="auto"/>
        <w:left w:val="none" w:sz="0" w:space="0" w:color="auto"/>
        <w:bottom w:val="none" w:sz="0" w:space="0" w:color="auto"/>
        <w:right w:val="none" w:sz="0" w:space="0" w:color="auto"/>
      </w:divBdr>
    </w:div>
    <w:div w:id="1127242092">
      <w:bodyDiv w:val="1"/>
      <w:marLeft w:val="0"/>
      <w:marRight w:val="0"/>
      <w:marTop w:val="0"/>
      <w:marBottom w:val="0"/>
      <w:divBdr>
        <w:top w:val="none" w:sz="0" w:space="0" w:color="auto"/>
        <w:left w:val="none" w:sz="0" w:space="0" w:color="auto"/>
        <w:bottom w:val="none" w:sz="0" w:space="0" w:color="auto"/>
        <w:right w:val="none" w:sz="0" w:space="0" w:color="auto"/>
      </w:divBdr>
    </w:div>
    <w:div w:id="114847951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435606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866150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49240962">
      <w:bodyDiv w:val="1"/>
      <w:marLeft w:val="0"/>
      <w:marRight w:val="0"/>
      <w:marTop w:val="0"/>
      <w:marBottom w:val="0"/>
      <w:divBdr>
        <w:top w:val="none" w:sz="0" w:space="0" w:color="auto"/>
        <w:left w:val="none" w:sz="0" w:space="0" w:color="auto"/>
        <w:bottom w:val="none" w:sz="0" w:space="0" w:color="auto"/>
        <w:right w:val="none" w:sz="0" w:space="0" w:color="auto"/>
      </w:divBdr>
    </w:div>
    <w:div w:id="208241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28488344" TargetMode="External"/><Relationship Id="rId18" Type="http://schemas.openxmlformats.org/officeDocument/2006/relationships/hyperlink" Target="http://www.nevo.co.il/law/70301"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nevo.co.il/case/26595077" TargetMode="External"/><Relationship Id="rId17" Type="http://schemas.openxmlformats.org/officeDocument/2006/relationships/image" Target="media/image1.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nevo.co.il/case/26078061" TargetMode="External"/><Relationship Id="rId20" Type="http://schemas.openxmlformats.org/officeDocument/2006/relationships/image" Target="media/image2.jp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5717123"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nevo.co.il/case/17922004"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nevo.co.il/case/25615569" TargetMode="External"/><Relationship Id="rId19" Type="http://schemas.openxmlformats.org/officeDocument/2006/relationships/hyperlink" Target="http://www.nevo.co.il/law/70301/hChS" TargetMode="External"/><Relationship Id="rId4" Type="http://schemas.openxmlformats.org/officeDocument/2006/relationships/styles" Target="styles.xml"/><Relationship Id="rId9" Type="http://schemas.openxmlformats.org/officeDocument/2006/relationships/hyperlink" Target="http://www.nevo.co.il/case/23866079" TargetMode="External"/><Relationship Id="rId14" Type="http://schemas.openxmlformats.org/officeDocument/2006/relationships/hyperlink" Target="http://www.nevo.co.il/case/26078061"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חברת הקלטה</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233179295</CasePartyID>
        <PartyTypeID>3</PartyTypeID>
        <ActivityStatusID>1</ActivityStatusID>
        <LegalEntityID>80112185</LegalEntityID>
        <CaseLegalEntityID>117401358</CaseLegalEntityID>
        <AssistantRoleID>27</AssistantRoleID>
        <AuthenticationTypeID>1</AuthenticationTypeID>
        <AuthenticationTypeName>ת"ז</AuthenticationTypeName>
        <IsMainPartyType>true</IsMainPartyType>
        <CaseDisplayIdentifier>32355-02-18</CaseDisplayIdentifier>
        <CaseTypeID>10048</CaseTypeID>
        <CaseTypeName>תיק פלילי (ת"פ)</CaseTypeName>
        <CaseName>מדינת ישראל נ' וקילי</CaseName>
        <FullAddress/>
        <MotionID>0</MotionID>
        <CasePleaID>0</CasePleaID>
        <LinkedCaseID>0</LinkedCaseID>
        <PartyID>1</PartyID>
        <CasePartyCategoryID>2</CasePartyCategoryID>
        <PleaTypeID>8</PleaTypeID>
        <GroupPartyAlias/>
        <IsConverted>false</IsConverted>
        <LegalEntityNameID>92200228</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מאיר סויסה</FullName>
        <FirstName>מאיר</FirstName>
        <LastName>סויסה</LastName>
        <PartyPropertyName/>
        <AuthenticationTypeAndNumber>מ.ר. 22135</AuthenticationTypeAndNumber>
        <RepresentatedOrRepresentativesNames>סאלם וקילי</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214807345</CasePartyID>
        <PartyTypeID>2</PartyTypeID>
        <ActivityStatusID>1</ActivityStatusID>
        <PartyAliasID>32</PartyAliasID>
        <PartyAliasName>בא כוח נאשמים</PartyAliasName>
        <LegalEntityID>389611</LegalEntityID>
        <CaseLegalEntityID>111885855</CaseLegalEntityID>
        <AuthenticationTypeID>4</AuthenticationTypeID>
        <AuthenticationTypeName>מ.ר.</AuthenticationTypeName>
        <LegalEntityNumber>22135</LegalEntityNumber>
        <IsMainPartyType>true</IsMainPartyType>
        <CaseDisplayIdentifier>32355-02-18</CaseDisplayIdentifier>
        <CaseTypeID>10048</CaseTypeID>
        <CaseTypeName>תיק פלילי (ת"פ)</CaseTypeName>
        <CaseName>מדינת ישראל נ' וקילי</CaseName>
        <FullAddress>קרן היסוד 27 דירה 3 באר שבע </FullAddress>
        <EmailAddress>meirsadv@gmail.com</EmailAddress>
        <MotionID>0</MotionID>
        <CasePleaID>0</CasePleaID>
        <LinkedCaseID>0</LinkedCaseID>
        <PartyID>2</PartyID>
        <CasePartyCategoryID>2</CasePartyCategoryID>
        <LegalEntityAddressID>76011088</LegalEntityAddressID>
        <LegalEntityEmailAddressID>68417286</LegalEntityEmailAddressID>
        <PleaTypeID>8</PleaTypeID>
        <LawyerOfficeName>משרד עו"ד: מאיר סויסה</LawyerOfficeName>
        <LawyerOfficeID>430255</LawyerOfficeID>
        <GroupPartyAlias/>
        <IsConverted>false</IsConverted>
        <LegalEntityNameID>10595</LegalEntityNameID>
        <RepresentatedNamesOfAssistant/>
        <LegalEntityTypeID>4</LegalEntityTypeID>
        <IsVerdictExists>false</IsVerdictExists>
        <IsAsirAzir>false</IsAsirAzir>
        <MainAndSecSpec/>
        <IsPublicationProhibited>false</IsPublicationProhibited>
        <PublicationProhibitedFullName>מאיר סויסה</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248051357</CasePartyID>
        <PartyTypeID>2</PartyTypeID>
        <ActivityStatusID>1</ActivityStatusID>
        <PartyAliasID>30</PartyAliasID>
        <PartyAliasName>בא כוח מאשימה</PartyAliasName>
        <OrdinalNumber>1</OrdinalNumber>
        <LegalEntityID>404183</LegalEntityID>
        <CaseLegalEntityID>121999184</CaseLegalEntityID>
        <AuthenticationTypeID>4</AuthenticationTypeID>
        <AuthenticationTypeName>מ.ר.</AuthenticationTypeName>
        <LegalEntityNumber>27974</LegalEntityNumber>
        <IsMainPartyType>true</IsMainPartyType>
        <CaseDisplayIdentifier>32355-02-18</CaseDisplayIdentifier>
        <CaseTypeID>10048</CaseTypeID>
        <CaseTypeName>תיק פלילי (ת"פ)</CaseTypeName>
        <CaseName>מדינת ישראל נ' וקילי</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סאברין אבו צראר</FullName>
        <FirstName>סאברין</FirstName>
        <LastName>אבו צראר</LastName>
        <PartyPropertyName/>
        <AuthenticationTypeAndNumber>מספר שוטר 1904450</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189196188</CasePartyID>
        <PartyTypeID>4</PartyTypeID>
        <ActivityStatusID>1</ActivityStatusID>
        <PartyAliasID>101</PartyAliasID>
        <PartyAliasName>עד בית משפט</PartyAliasName>
        <OrdinalNumber>1</OrdinalNumber>
        <LegalEntityID>77664887</LegalEntityID>
        <CaseLegalEntityID>104358372</CaseLegalEntityID>
        <AuthenticationTypeID>34</AuthenticationTypeID>
        <AuthenticationTypeName>מספר שוטר</AuthenticationTypeName>
        <LegalEntityNumber>1904450</LegalEntityNumber>
        <IsMainPartyType>true</IsMainPartyType>
        <CaseDisplayIdentifier>32355-02-18</CaseDisplayIdentifier>
        <CaseTypeID>10048</CaseTypeID>
        <CaseTypeName>תיק פלילי (ת"פ)</CaseTypeName>
        <CaseName>מדינת ישראל נ' וקילי</CaseName>
        <FullAddress>משטרת ישראל  עיירות</FullAddress>
        <MotionID>0</MotionID>
        <CasePleaID>0</CasePleaID>
        <LinkedCaseID>0</LinkedCaseID>
        <PartyID>1</PartyID>
        <CasePartyCategoryID>2</CasePartyCategoryID>
        <LegalEntityAddressID>81929774</LegalEntityAddressID>
        <PleaTypeID>8</PleaTypeID>
        <GroupPartyAlias/>
        <IsConverted>false</IsConverted>
        <LegalEntityNameID>86733800</LegalEntityNameID>
        <RepresentatedNamesOfAssistant/>
        <LegalEntityTypeID>9</LegalEntityTypeID>
        <IsVerdictExists>false</IsVerdictExists>
        <IsAsirAzir>false</IsAsirAzir>
        <MainAndSecSpec/>
        <IsPublicationProhibited>false</IsPublicationProhibited>
        <PublicationProhibitedFullName>סאברין אבו צראר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178135957</CasePartyID>
        <PartyTypeID>1</PartyTypeID>
        <ActivityStatusID>1</ActivityStatusID>
        <PartyAliasID>11</PartyAliasID>
        <PartyAliasName>מאשימה</PartyAliasName>
        <OrdinalNumber>1</OrdinalNumber>
        <LegalEntityID>4</LegalEntityID>
        <CaseLegalEntityID>101034627</CaseLegalEntityID>
        <AuthenticationTypeID>41</AuthenticationTypeID>
        <AuthenticationTypeName>מדינת ישראל </AuthenticationTypeName>
        <LegalEntityNumber/>
        <IsMainPartyType>true</IsMainPartyType>
        <CaseDisplayIdentifier>32355-02-18</CaseDisplayIdentifier>
        <CaseTypeID>10048</CaseTypeID>
        <CaseTypeName>תיק פלילי (ת"פ)</CaseTypeName>
        <CaseName>מדינת ישראל נ' וקילי</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סאלם וקילי</FullName>
        <FirstName>סאלם</FirstName>
        <LastName>וקילי</LastName>
        <PartyPropertyName/>
        <AuthenticationTypeAndNumber>ת"ז 024762783</AuthenticationTypeAndNumber>
        <RepresentatedOrRepresentativesNames>מאיר סויסה</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178135959</CasePartyID>
        <PartyTypeID>1</PartyTypeID>
        <ActivityStatusID>1</ActivityStatusID>
        <PartyAliasID>13</PartyAliasID>
        <PartyAliasName>נאשם</PartyAliasName>
        <OrdinalNumber>1</OrdinalNumber>
        <LegalEntityID>488728</LegalEntityID>
        <CaseLegalEntityID>101034629</CaseLegalEntityID>
        <AuthenticationTypeID>1</AuthenticationTypeID>
        <AuthenticationTypeName>ת"ז</AuthenticationTypeName>
        <LegalEntityNumber>024762783</LegalEntityNumber>
        <IsMainPartyType>true</IsMainPartyType>
        <CaseDisplayIdentifier>32355-02-18</CaseDisplayIdentifier>
        <CaseTypeID>10048</CaseTypeID>
        <CaseTypeName>תיק פלילי (ת"פ)</CaseTypeName>
        <CaseName>מדינת ישראל נ' וקילי</CaseName>
        <FullAddress>אעצם אעצם (שבט) </FullAddress>
        <MotionID>0</MotionID>
        <CasePleaID>0</CasePleaID>
        <BirthDate>1969-12-15T00:00:00+02:00</BirthDate>
        <FatherName>מוחמד</FatherName>
        <LinkedCaseID>0</LinkedCaseID>
        <PartyID>2</PartyID>
        <CasePartyCategoryID>2</CasePartyCategoryID>
        <LegalEntityAddressID>80944828</LegalEntityAddressID>
        <PleaTypeID>8</PleaTypeID>
        <GroupPartyAlias>נאשמים</GroupPartyAlias>
        <IsConverted>false</IsConverted>
        <LegalEntityRegisteredNameID>7233670</LegalEntityRegisteredNameID>
        <LegalEntityNameID>85281290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סאלם וקילי</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אירינה קירסנוב</FullName>
        <FirstName>אירינה</FirstName>
        <LastName>קירסנוב</LastName>
        <PartyPropertyName/>
        <AuthenticationTypeAndNumber>מספר שוטר 70528492</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189196254</CasePartyID>
        <PartyTypeID>4</PartyTypeID>
        <ActivityStatusID>1</ActivityStatusID>
        <PartyAliasID>71</PartyAliasID>
        <PartyAliasName>עד מאשימה</PartyAliasName>
        <OrdinalNumber>2</OrdinalNumber>
        <LegalEntityID>77664893</LegalEntityID>
        <CaseLegalEntityID>104358389</CaseLegalEntityID>
        <AuthenticationTypeID>34</AuthenticationTypeID>
        <AuthenticationTypeName>מספר שוטר</AuthenticationTypeName>
        <LegalEntityNumber>70528492</LegalEntityNumber>
        <IsMainPartyType>true</IsMainPartyType>
        <CaseDisplayIdentifier>32355-02-18</CaseDisplayIdentifier>
        <CaseTypeID>10048</CaseTypeID>
        <CaseTypeName>תיק פלילי (ת"פ)</CaseTypeName>
        <CaseName>מדינת ישראל נ' וקילי</CaseName>
        <FullAddress>משטרת ישראל  עיירות</FullAddress>
        <MotionID>0</MotionID>
        <CasePleaID>0</CasePleaID>
        <LinkedCaseID>0</LinkedCaseID>
        <PartyID>1</PartyID>
        <CasePartyCategoryID>2</CasePartyCategoryID>
        <LegalEntityAddressID>81929785</LegalEntityAddressID>
        <PleaTypeID>8</PleaTypeID>
        <GroupPartyAlias/>
        <IsConverted>false</IsConverted>
        <LegalEntityNameID>86733811</LegalEntityNameID>
        <RepresentatedNamesOfAssistant/>
        <LegalEntityTypeID>9</LegalEntityTypeID>
        <IsVerdictExists>false</IsVerdictExists>
        <IsAsirAzir>false</IsAsirAzir>
        <MainAndSecSpec/>
        <IsPublicationProhibited>false</IsPublicationProhibited>
        <PublicationProhibitedFullName>אירינה קירסנוב</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סיוון ינין</FullName>
        <FirstName>סיוון</FirstName>
        <LastName>ינין</LastName>
        <PartyPropertyName/>
        <AuthenticationTypeAndNumber>מספר שוטר 1120047</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189196350</CasePartyID>
        <PartyTypeID>4</PartyTypeID>
        <ActivityStatusID>1</ActivityStatusID>
        <PartyAliasID>71</PartyAliasID>
        <PartyAliasName>עד מאשימה</PartyAliasName>
        <OrdinalNumber>3</OrdinalNumber>
        <LegalEntityID>77664896</LegalEntityID>
        <CaseLegalEntityID>104358421</CaseLegalEntityID>
        <AuthenticationTypeID>34</AuthenticationTypeID>
        <AuthenticationTypeName>מספר שוטר</AuthenticationTypeName>
        <LegalEntityNumber>1120047</LegalEntityNumber>
        <IsMainPartyType>true</IsMainPartyType>
        <CaseDisplayIdentifier>32355-02-18</CaseDisplayIdentifier>
        <CaseTypeID>10048</CaseTypeID>
        <CaseTypeName>תיק פלילי (ת"פ)</CaseTypeName>
        <CaseName>מדינת ישראל נ' וקילי</CaseName>
        <FullAddress>משטרת ישראל  עיירות</FullAddress>
        <MotionID>0</MotionID>
        <CasePleaID>0</CasePleaID>
        <LinkedCaseID>0</LinkedCaseID>
        <PartyID>1</PartyID>
        <CasePartyCategoryID>2</CasePartyCategoryID>
        <LegalEntityAddressID>81929795</LegalEntityAddressID>
        <PleaTypeID>8</PleaTypeID>
        <GroupPartyAlias/>
        <IsConverted>false</IsConverted>
        <LegalEntityNameID>86733822</LegalEntityNameID>
        <RepresentatedNamesOfAssistant/>
        <LegalEntityTypeID>9</LegalEntityTypeID>
        <IsVerdictExists>false</IsVerdictExists>
        <IsAsirAzir>false</IsAsirAzir>
        <MainAndSecSpec/>
        <IsPublicationProhibited>false</IsPublicationProhibited>
        <PublicationProhibitedFullName>סיוון ינין</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פקיד בית הדין השרעי</FullName>
        <FirstName>פקיד</FirstName>
        <LastName>בית הדין השרעי</LastName>
        <PartyPropertyName/>
        <AuthenticationTypeAndNumber>ת"ז </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189196417</CasePartyID>
        <PartyTypeID>4</PartyTypeID>
        <ActivityStatusID>1</ActivityStatusID>
        <PartyAliasID>71</PartyAliasID>
        <PartyAliasName>עד מאשימה</PartyAliasName>
        <OrdinalNumber>4</OrdinalNumber>
        <LegalEntityID>77664900</LegalEntityID>
        <CaseLegalEntityID>104358440</CaseLegalEntityID>
        <AuthenticationTypeID>1</AuthenticationTypeID>
        <AuthenticationTypeName>ת"ז</AuthenticationTypeName>
        <IsMainPartyType>true</IsMainPartyType>
        <CaseDisplayIdentifier>32355-02-18</CaseDisplayIdentifier>
        <CaseTypeID>10048</CaseTypeID>
        <CaseTypeName>תיק פלילי (ת"פ)</CaseTypeName>
        <CaseName>מדינת ישראל נ' וקילי</CaseName>
        <FullAddress>באמצעות המאשימה באר שבע פרקליטות מחוז דרום</FullAddress>
        <MotionID>0</MotionID>
        <CasePleaID>0</CasePleaID>
        <LinkedCaseID>0</LinkedCaseID>
        <PartyID>1</PartyID>
        <CasePartyCategoryID>2</CasePartyCategoryID>
        <LegalEntityAddressID>81990057</LegalEntityAddressID>
        <PleaTypeID>8</PleaTypeID>
        <GroupPartyAlias/>
        <IsConverted>false</IsConverted>
        <LegalEntityNameID>86733831</LegalEntityNameID>
        <RepresentatedNamesOfAssistant/>
        <LegalEntityTypeID>1</LegalEntityTypeID>
        <IsVerdictExists>false</IsVerdictExists>
        <IsAsirAzir>false</IsAsirAzir>
        <MainAndSecSpec/>
        <IsPublicationProhibited>false</IsPublicationProhibited>
        <PublicationProhibitedFullName>פקיד בית הדין השרעי</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פקיד רשות האוכלוסין וההגירה</FullName>
        <FirstName>פקיד רשות</FirstName>
        <LastName>האוכלוסין וההגירה</LastName>
        <PartyPropertyName/>
        <AuthenticationTypeAndNumber>ת"ז </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189869304</CasePartyID>
        <PartyTypeID>4</PartyTypeID>
        <ActivityStatusID>1</ActivityStatusID>
        <PartyAliasID>71</PartyAliasID>
        <PartyAliasName>עד מאשימה</PartyAliasName>
        <OrdinalNumber>5</OrdinalNumber>
        <LegalEntityID>77704129</LegalEntityID>
        <CaseLegalEntityID>104555257</CaseLegalEntityID>
        <AuthenticationTypeID>1</AuthenticationTypeID>
        <AuthenticationTypeName>ת"ז</AuthenticationTypeName>
        <IsMainPartyType>true</IsMainPartyType>
        <CaseDisplayIdentifier>32355-02-18</CaseDisplayIdentifier>
        <CaseTypeID>10048</CaseTypeID>
        <CaseTypeName>תיק פלילי (ת"פ)</CaseTypeName>
        <CaseName>מדינת ישראל נ' וקילי</CaseName>
        <FullAddress>באמצעות המאשימה באר שבע פרקליטות מחוז דרום</FullAddress>
        <MotionID>0</MotionID>
        <CasePleaID>0</CasePleaID>
        <LinkedCaseID>0</LinkedCaseID>
        <PartyID>1</PartyID>
        <CasePartyCategoryID>2</CasePartyCategoryID>
        <LegalEntityAddressID>81990052</LegalEntityAddressID>
        <PleaTypeID>8</PleaTypeID>
        <GroupPartyAlias/>
        <IsConverted>false</IsConverted>
        <LegalEntityNameID>86820808</LegalEntityNameID>
        <RepresentatedNamesOfAssistant/>
        <LegalEntityTypeID>1</LegalEntityTypeID>
        <IsVerdictExists>false</IsVerdictExists>
        <IsAsirAzir>false</IsAsirAzir>
        <MainAndSecSpec/>
        <IsPublicationProhibited>false</IsPublicationProhibited>
        <PublicationProhibitedFullName>פקיד רשות האוכלוסין וההגירה</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חליל אבו רביעה</FullName>
        <FirstName>חליל</FirstName>
        <LastName>אבו רביעה</LastName>
        <PartyPropertyName/>
        <AuthenticationTypeAndNumber>ת"ז 058161308</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189869568</CasePartyID>
        <PartyTypeID>4</PartyTypeID>
        <ActivityStatusID>1</ActivityStatusID>
        <PartyAliasID>71</PartyAliasID>
        <PartyAliasName>עד מאשימה</PartyAliasName>
        <OrdinalNumber>6</OrdinalNumber>
        <LegalEntityID>3769118</LegalEntityID>
        <CaseLegalEntityID>104555331</CaseLegalEntityID>
        <AuthenticationTypeID>1</AuthenticationTypeID>
        <AuthenticationTypeName>ת"ז</AuthenticationTypeName>
        <LegalEntityNumber>058161308</LegalEntityNumber>
        <IsMainPartyType>true</IsMainPartyType>
        <CaseDisplayIdentifier>32355-02-18</CaseDisplayIdentifier>
        <CaseTypeID>10048</CaseTypeID>
        <CaseTypeName>תיק פלילי (ת"פ)</CaseTypeName>
        <CaseName>מדינת ישראל נ' וקילי</CaseName>
        <FullAddress>חברת פרוטוקול באר שבע באמצעות המאשימה פרקליטות מחוז דרום</FullAddress>
        <MotionID>0</MotionID>
        <CasePleaID>0</CasePleaID>
        <FatherName>חמאד</FatherName>
        <LinkedCaseID>0</LinkedCaseID>
        <PartyID>1</PartyID>
        <CasePartyCategoryID>2</CasePartyCategoryID>
        <LegalEntityAddressID>81990070</LegalEntityAddressID>
        <PleaTypeID>8</PleaTypeID>
        <GroupPartyAlias/>
        <IsConverted>false</IsConverted>
        <LegalEntityRegisteredNameID>8107798</LegalEntityRegisteredNameID>
        <LegalEntityNameID>86820835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חליל אבו רביעה</PublicationProhibitedFullName>
      </CaseParties>
    </CasePartiesSelectionDS>
    <DecisionName>גזר דין  שניתנה ע"י  רון סולקין</DecisionName>
    <CourtDisplayName>בית משפט השלום בבאר שבע</CourtDisplayName>
    <IsCaseJudgePanel>false</IsCaseJudgePanel>
    <DecisionSignatureDate>2024-10-28T09:25:24.2720797+02:00</DecisionSignatureDate>
    <OpenCaseDate>2018-02-14T14:16:00+02:00</OpenCaseDate>
    <ExternalCaseNumber>342783/2017</ExternalCaseNumber>
    <DecisionTypeID>4</DecisionTypeID>
    <DecisionSignatureUserName>רון סולקין</DecisionSignatureUserName>
    <DecisionSignatureDateHebrew>2024-10-28T09:25:24.2720797+02:00</DecisionSignatureDateHebrew>
    <DecisionWriterID>025491861@GOV.IL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וקילי</CaseName>
    <DecisionNumberInCase>26</DecisionNumberInCase>
  </dt_Decision>
  <dt_DecisionCase>
    <DecisionID>0</DecisionID>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חברת הקלטה</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233179295</CasePartyID>
        <PartyTypeID>3</PartyTypeID>
        <ActivityStatusID>1</ActivityStatusID>
        <LegalEntityID>80112185</LegalEntityID>
        <CaseLegalEntityID>117401358</CaseLegalEntityID>
        <AssistantRoleID>27</AssistantRoleID>
        <AuthenticationTypeID>1</AuthenticationTypeID>
        <AuthenticationTypeName>ת"ז</AuthenticationTypeName>
        <IsMainPartyType>true</IsMainPartyType>
        <CaseDisplayIdentifier>32355-02-18</CaseDisplayIdentifier>
        <CaseTypeID>10048</CaseTypeID>
        <CaseTypeName>תיק פלילי (ת"פ)</CaseTypeName>
        <CaseName>מדינת ישראל נ' וקילי</CaseName>
        <FullAddress/>
        <MotionID>0</MotionID>
        <CasePleaID>0</CasePleaID>
        <LinkedCaseID>0</LinkedCaseID>
        <PartyID>1</PartyID>
        <CasePartyCategoryID>2</CasePartyCategoryID>
        <PleaTypeID>8</PleaTypeID>
        <GroupPartyAlias/>
        <IsConverted>false</IsConverted>
        <LegalEntityNameID>92200228</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מאיר סויסה</FullName>
        <FirstName>מאיר</FirstName>
        <LastName>סויסה</LastName>
        <PartyPropertyName/>
        <AuthenticationTypeAndNumber>מ.ר. 22135</AuthenticationTypeAndNumber>
        <RepresentatedOrRepresentativesNames>סאלם וקילי</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214807345</CasePartyID>
        <PartyTypeID>2</PartyTypeID>
        <ActivityStatusID>1</ActivityStatusID>
        <PartyAliasID>32</PartyAliasID>
        <PartyAliasName>בא כוח נאשמים</PartyAliasName>
        <LegalEntityID>389611</LegalEntityID>
        <CaseLegalEntityID>111885855</CaseLegalEntityID>
        <AuthenticationTypeID>4</AuthenticationTypeID>
        <AuthenticationTypeName>מ.ר.</AuthenticationTypeName>
        <LegalEntityNumber>22135</LegalEntityNumber>
        <IsMainPartyType>true</IsMainPartyType>
        <CaseDisplayIdentifier>32355-02-18</CaseDisplayIdentifier>
        <CaseTypeID>10048</CaseTypeID>
        <CaseTypeName>תיק פלילי (ת"פ)</CaseTypeName>
        <CaseName>מדינת ישראל נ' וקילי</CaseName>
        <FullAddress>קרן היסוד 27 דירה 3 באר שבע </FullAddress>
        <EmailAddress>meirsadv@gmail.com</EmailAddress>
        <MotionID>0</MotionID>
        <CasePleaID>0</CasePleaID>
        <LinkedCaseID>0</LinkedCaseID>
        <PartyID>2</PartyID>
        <CasePartyCategoryID>2</CasePartyCategoryID>
        <LegalEntityAddressID>76011088</LegalEntityAddressID>
        <LegalEntityEmailAddressID>68417286</LegalEntityEmailAddressID>
        <PleaTypeID>8</PleaTypeID>
        <LawyerOfficeName>משרד עו"ד: מאיר סויסה</LawyerOfficeName>
        <LawyerOfficeID>430255</LawyerOfficeID>
        <GroupPartyAlias/>
        <IsConverted>false</IsConverted>
        <LegalEntityNameID>10595</LegalEntityNameID>
        <RepresentatedNamesOfAssistant/>
        <LegalEntityTypeID>4</LegalEntityTypeID>
        <IsVerdictExists>false</IsVerdictExists>
        <IsAsirAzir>false</IsAsirAzir>
        <MainAndSecSpec/>
        <IsPublicationProhibited>false</IsPublicationProhibited>
        <PublicationProhibitedFullName>מאיר סויסה</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248051357</CasePartyID>
        <PartyTypeID>2</PartyTypeID>
        <ActivityStatusID>1</ActivityStatusID>
        <PartyAliasID>30</PartyAliasID>
        <PartyAliasName>בא כוח מאשימה</PartyAliasName>
        <OrdinalNumber>1</OrdinalNumber>
        <LegalEntityID>404183</LegalEntityID>
        <CaseLegalEntityID>121999184</CaseLegalEntityID>
        <AuthenticationTypeID>4</AuthenticationTypeID>
        <AuthenticationTypeName>מ.ר.</AuthenticationTypeName>
        <LegalEntityNumber>27974</LegalEntityNumber>
        <IsMainPartyType>true</IsMainPartyType>
        <CaseDisplayIdentifier>32355-02-18</CaseDisplayIdentifier>
        <CaseTypeID>10048</CaseTypeID>
        <CaseTypeName>תיק פלילי (ת"פ)</CaseTypeName>
        <CaseName>מדינת ישראל נ' וקילי</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סאברין אבו צראר</FullName>
        <FirstName>סאברין</FirstName>
        <LastName>אבו צראר</LastName>
        <PartyPropertyName/>
        <AuthenticationTypeAndNumber>מספר שוטר 1904450</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189196188</CasePartyID>
        <PartyTypeID>4</PartyTypeID>
        <ActivityStatusID>1</ActivityStatusID>
        <PartyAliasID>101</PartyAliasID>
        <PartyAliasName>עד בית משפט</PartyAliasName>
        <OrdinalNumber>1</OrdinalNumber>
        <LegalEntityID>77664887</LegalEntityID>
        <CaseLegalEntityID>104358372</CaseLegalEntityID>
        <AuthenticationTypeID>34</AuthenticationTypeID>
        <AuthenticationTypeName>מספר שוטר</AuthenticationTypeName>
        <LegalEntityNumber>1904450</LegalEntityNumber>
        <IsMainPartyType>true</IsMainPartyType>
        <CaseDisplayIdentifier>32355-02-18</CaseDisplayIdentifier>
        <CaseTypeID>10048</CaseTypeID>
        <CaseTypeName>תיק פלילי (ת"פ)</CaseTypeName>
        <CaseName>מדינת ישראל נ' וקילי</CaseName>
        <FullAddress>משטרת ישראל  עיירות</FullAddress>
        <MotionID>0</MotionID>
        <CasePleaID>0</CasePleaID>
        <LinkedCaseID>0</LinkedCaseID>
        <PartyID>1</PartyID>
        <CasePartyCategoryID>2</CasePartyCategoryID>
        <LegalEntityAddressID>81929774</LegalEntityAddressID>
        <PleaTypeID>8</PleaTypeID>
        <GroupPartyAlias/>
        <IsConverted>false</IsConverted>
        <LegalEntityNameID>86733800</LegalEntityNameID>
        <RepresentatedNamesOfAssistant/>
        <LegalEntityTypeID>9</LegalEntityTypeID>
        <IsVerdictExists>false</IsVerdictExists>
        <IsAsirAzir>false</IsAsirAzir>
        <MainAndSecSpec/>
        <IsPublicationProhibited>false</IsPublicationProhibited>
        <PublicationProhibitedFullName>סאברין אבו צראר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178135957</CasePartyID>
        <PartyTypeID>1</PartyTypeID>
        <ActivityStatusID>1</ActivityStatusID>
        <PartyAliasID>11</PartyAliasID>
        <PartyAliasName>מאשימה</PartyAliasName>
        <OrdinalNumber>1</OrdinalNumber>
        <LegalEntityID>4</LegalEntityID>
        <CaseLegalEntityID>101034627</CaseLegalEntityID>
        <AuthenticationTypeID>41</AuthenticationTypeID>
        <AuthenticationTypeName>מדינת ישראל </AuthenticationTypeName>
        <LegalEntityNumber/>
        <IsMainPartyType>true</IsMainPartyType>
        <CaseDisplayIdentifier>32355-02-18</CaseDisplayIdentifier>
        <CaseTypeID>10048</CaseTypeID>
        <CaseTypeName>תיק פלילי (ת"פ)</CaseTypeName>
        <CaseName>מדינת ישראל נ' וקילי</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סאלם וקילי</FullName>
        <FirstName>סאלם</FirstName>
        <LastName>וקילי</LastName>
        <PartyPropertyName/>
        <AuthenticationTypeAndNumber>ת"ז 024762783</AuthenticationTypeAndNumber>
        <RepresentatedOrRepresentativesNames>מאיר סויסה</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178135959</CasePartyID>
        <PartyTypeID>1</PartyTypeID>
        <ActivityStatusID>1</ActivityStatusID>
        <PartyAliasID>13</PartyAliasID>
        <PartyAliasName>נאשם</PartyAliasName>
        <OrdinalNumber>1</OrdinalNumber>
        <LegalEntityID>488728</LegalEntityID>
        <CaseLegalEntityID>101034629</CaseLegalEntityID>
        <AuthenticationTypeID>1</AuthenticationTypeID>
        <AuthenticationTypeName>ת"ז</AuthenticationTypeName>
        <LegalEntityNumber>024762783</LegalEntityNumber>
        <IsMainPartyType>true</IsMainPartyType>
        <CaseDisplayIdentifier>32355-02-18</CaseDisplayIdentifier>
        <CaseTypeID>10048</CaseTypeID>
        <CaseTypeName>תיק פלילי (ת"פ)</CaseTypeName>
        <CaseName>מדינת ישראל נ' וקילי</CaseName>
        <FullAddress>אעצם אעצם (שבט) </FullAddress>
        <MotionID>0</MotionID>
        <CasePleaID>0</CasePleaID>
        <BirthDate>1969-12-15T00:00:00+02:00</BirthDate>
        <FatherName>מוחמד</FatherName>
        <LinkedCaseID>0</LinkedCaseID>
        <PartyID>2</PartyID>
        <CasePartyCategoryID>2</CasePartyCategoryID>
        <LegalEntityAddressID>80944828</LegalEntityAddressID>
        <PleaTypeID>8</PleaTypeID>
        <GroupPartyAlias>נאשמים</GroupPartyAlias>
        <IsConverted>false</IsConverted>
        <LegalEntityRegisteredNameID>7233670</LegalEntityRegisteredNameID>
        <LegalEntityNameID>85281290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סאלם וקילי</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אירינה קירסנוב</FullName>
        <FirstName>אירינה</FirstName>
        <LastName>קירסנוב</LastName>
        <PartyPropertyName/>
        <AuthenticationTypeAndNumber>מספר שוטר 70528492</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189196254</CasePartyID>
        <PartyTypeID>4</PartyTypeID>
        <ActivityStatusID>1</ActivityStatusID>
        <PartyAliasID>71</PartyAliasID>
        <PartyAliasName>עד מאשימה</PartyAliasName>
        <OrdinalNumber>2</OrdinalNumber>
        <LegalEntityID>77664893</LegalEntityID>
        <CaseLegalEntityID>104358389</CaseLegalEntityID>
        <AuthenticationTypeID>34</AuthenticationTypeID>
        <AuthenticationTypeName>מספר שוטר</AuthenticationTypeName>
        <LegalEntityNumber>70528492</LegalEntityNumber>
        <IsMainPartyType>true</IsMainPartyType>
        <CaseDisplayIdentifier>32355-02-18</CaseDisplayIdentifier>
        <CaseTypeID>10048</CaseTypeID>
        <CaseTypeName>תיק פלילי (ת"פ)</CaseTypeName>
        <CaseName>מדינת ישראל נ' וקילי</CaseName>
        <FullAddress>משטרת ישראל  עיירות</FullAddress>
        <MotionID>0</MotionID>
        <CasePleaID>0</CasePleaID>
        <LinkedCaseID>0</LinkedCaseID>
        <PartyID>1</PartyID>
        <CasePartyCategoryID>2</CasePartyCategoryID>
        <LegalEntityAddressID>81929785</LegalEntityAddressID>
        <PleaTypeID>8</PleaTypeID>
        <GroupPartyAlias/>
        <IsConverted>false</IsConverted>
        <LegalEntityNameID>86733811</LegalEntityNameID>
        <RepresentatedNamesOfAssistant/>
        <LegalEntityTypeID>9</LegalEntityTypeID>
        <IsVerdictExists>false</IsVerdictExists>
        <IsAsirAzir>false</IsAsirAzir>
        <MainAndSecSpec/>
        <IsPublicationProhibited>false</IsPublicationProhibited>
        <PublicationProhibitedFullName>אירינה קירסנוב</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סיוון ינין</FullName>
        <FirstName>סיוון</FirstName>
        <LastName>ינין</LastName>
        <PartyPropertyName/>
        <AuthenticationTypeAndNumber>מספר שוטר 1120047</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189196350</CasePartyID>
        <PartyTypeID>4</PartyTypeID>
        <ActivityStatusID>1</ActivityStatusID>
        <PartyAliasID>71</PartyAliasID>
        <PartyAliasName>עד מאשימה</PartyAliasName>
        <OrdinalNumber>3</OrdinalNumber>
        <LegalEntityID>77664896</LegalEntityID>
        <CaseLegalEntityID>104358421</CaseLegalEntityID>
        <AuthenticationTypeID>34</AuthenticationTypeID>
        <AuthenticationTypeName>מספר שוטר</AuthenticationTypeName>
        <LegalEntityNumber>1120047</LegalEntityNumber>
        <IsMainPartyType>true</IsMainPartyType>
        <CaseDisplayIdentifier>32355-02-18</CaseDisplayIdentifier>
        <CaseTypeID>10048</CaseTypeID>
        <CaseTypeName>תיק פלילי (ת"פ)</CaseTypeName>
        <CaseName>מדינת ישראל נ' וקילי</CaseName>
        <FullAddress>משטרת ישראל  עיירות</FullAddress>
        <MotionID>0</MotionID>
        <CasePleaID>0</CasePleaID>
        <LinkedCaseID>0</LinkedCaseID>
        <PartyID>1</PartyID>
        <CasePartyCategoryID>2</CasePartyCategoryID>
        <LegalEntityAddressID>81929795</LegalEntityAddressID>
        <PleaTypeID>8</PleaTypeID>
        <GroupPartyAlias/>
        <IsConverted>false</IsConverted>
        <LegalEntityNameID>86733822</LegalEntityNameID>
        <RepresentatedNamesOfAssistant/>
        <LegalEntityTypeID>9</LegalEntityTypeID>
        <IsVerdictExists>false</IsVerdictExists>
        <IsAsirAzir>false</IsAsirAzir>
        <MainAndSecSpec/>
        <IsPublicationProhibited>false</IsPublicationProhibited>
        <PublicationProhibitedFullName>סיוון ינין</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פקיד בית הדין השרעי</FullName>
        <FirstName>פקיד</FirstName>
        <LastName>בית הדין השרעי</LastName>
        <PartyPropertyName/>
        <AuthenticationTypeAndNumber>ת"ז </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189196417</CasePartyID>
        <PartyTypeID>4</PartyTypeID>
        <ActivityStatusID>1</ActivityStatusID>
        <PartyAliasID>71</PartyAliasID>
        <PartyAliasName>עד מאשימה</PartyAliasName>
        <OrdinalNumber>4</OrdinalNumber>
        <LegalEntityID>77664900</LegalEntityID>
        <CaseLegalEntityID>104358440</CaseLegalEntityID>
        <AuthenticationTypeID>1</AuthenticationTypeID>
        <AuthenticationTypeName>ת"ז</AuthenticationTypeName>
        <IsMainPartyType>true</IsMainPartyType>
        <CaseDisplayIdentifier>32355-02-18</CaseDisplayIdentifier>
        <CaseTypeID>10048</CaseTypeID>
        <CaseTypeName>תיק פלילי (ת"פ)</CaseTypeName>
        <CaseName>מדינת ישראל נ' וקילי</CaseName>
        <FullAddress>באמצעות המאשימה באר שבע פרקליטות מחוז דרום</FullAddress>
        <MotionID>0</MotionID>
        <CasePleaID>0</CasePleaID>
        <LinkedCaseID>0</LinkedCaseID>
        <PartyID>1</PartyID>
        <CasePartyCategoryID>2</CasePartyCategoryID>
        <LegalEntityAddressID>81990057</LegalEntityAddressID>
        <PleaTypeID>8</PleaTypeID>
        <GroupPartyAlias/>
        <IsConverted>false</IsConverted>
        <LegalEntityNameID>86733831</LegalEntityNameID>
        <RepresentatedNamesOfAssistant/>
        <LegalEntityTypeID>1</LegalEntityTypeID>
        <IsVerdictExists>false</IsVerdictExists>
        <IsAsirAzir>false</IsAsirAzir>
        <MainAndSecSpec/>
        <IsPublicationProhibited>false</IsPublicationProhibited>
        <PublicationProhibitedFullName>פקיד בית הדין השרעי</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פקיד רשות האוכלוסין וההגירה</FullName>
        <FirstName>פקיד רשות</FirstName>
        <LastName>האוכלוסין וההגירה</LastName>
        <PartyPropertyName/>
        <AuthenticationTypeAndNumber>ת"ז </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189869304</CasePartyID>
        <PartyTypeID>4</PartyTypeID>
        <ActivityStatusID>1</ActivityStatusID>
        <PartyAliasID>71</PartyAliasID>
        <PartyAliasName>עד מאשימה</PartyAliasName>
        <OrdinalNumber>5</OrdinalNumber>
        <LegalEntityID>77704129</LegalEntityID>
        <CaseLegalEntityID>104555257</CaseLegalEntityID>
        <AuthenticationTypeID>1</AuthenticationTypeID>
        <AuthenticationTypeName>ת"ז</AuthenticationTypeName>
        <IsMainPartyType>true</IsMainPartyType>
        <CaseDisplayIdentifier>32355-02-18</CaseDisplayIdentifier>
        <CaseTypeID>10048</CaseTypeID>
        <CaseTypeName>תיק פלילי (ת"פ)</CaseTypeName>
        <CaseName>מדינת ישראל נ' וקילי</CaseName>
        <FullAddress>באמצעות המאשימה באר שבע פרקליטות מחוז דרום</FullAddress>
        <MotionID>0</MotionID>
        <CasePleaID>0</CasePleaID>
        <LinkedCaseID>0</LinkedCaseID>
        <PartyID>1</PartyID>
        <CasePartyCategoryID>2</CasePartyCategoryID>
        <LegalEntityAddressID>81990052</LegalEntityAddressID>
        <PleaTypeID>8</PleaTypeID>
        <GroupPartyAlias/>
        <IsConverted>false</IsConverted>
        <LegalEntityNameID>86820808</LegalEntityNameID>
        <RepresentatedNamesOfAssistant/>
        <LegalEntityTypeID>1</LegalEntityTypeID>
        <IsVerdictExists>false</IsVerdictExists>
        <IsAsirAzir>false</IsAsirAzir>
        <MainAndSecSpec/>
        <IsPublicationProhibited>false</IsPublicationProhibited>
        <PublicationProhibitedFullName>פקיד רשות האוכלוסין וההגירה</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חליל אבו רביעה</FullName>
        <FirstName>חליל</FirstName>
        <LastName>אבו רביעה</LastName>
        <PartyPropertyName/>
        <AuthenticationTypeAndNumber>ת"ז 058161308</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189869568</CasePartyID>
        <PartyTypeID>4</PartyTypeID>
        <ActivityStatusID>1</ActivityStatusID>
        <PartyAliasID>71</PartyAliasID>
        <PartyAliasName>עד מאשימה</PartyAliasName>
        <OrdinalNumber>6</OrdinalNumber>
        <LegalEntityID>3769118</LegalEntityID>
        <CaseLegalEntityID>104555331</CaseLegalEntityID>
        <AuthenticationTypeID>1</AuthenticationTypeID>
        <AuthenticationTypeName>ת"ז</AuthenticationTypeName>
        <LegalEntityNumber>058161308</LegalEntityNumber>
        <IsMainPartyType>true</IsMainPartyType>
        <CaseDisplayIdentifier>32355-02-18</CaseDisplayIdentifier>
        <CaseTypeID>10048</CaseTypeID>
        <CaseTypeName>תיק פלילי (ת"פ)</CaseTypeName>
        <CaseName>מדינת ישראל נ' וקילי</CaseName>
        <FullAddress>חברת פרוטוקול באר שבע באמצעות המאשימה פרקליטות מחוז דרום</FullAddress>
        <MotionID>0</MotionID>
        <CasePleaID>0</CasePleaID>
        <FatherName>חמאד</FatherName>
        <LinkedCaseID>0</LinkedCaseID>
        <PartyID>1</PartyID>
        <CasePartyCategoryID>2</CasePartyCategoryID>
        <LegalEntityAddressID>81990070</LegalEntityAddressID>
        <PleaTypeID>8</PleaTypeID>
        <GroupPartyAlias/>
        <IsConverted>false</IsConverted>
        <LegalEntityRegisteredNameID>8107798</LegalEntityRegisteredNameID>
        <LegalEntityNameID>86820835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חליל אבו רביעה</PublicationProhibitedFullName>
      </CaseParties>
    </CasePartiesSelectionDS>
    <CaseName>מדינת ישראל נ' וקילי</CaseName>
    <CaseDisplayIdentifier>32355-02-18</CaseDisplayIdentifier>
    <CaseTypeShortName>ת"פ</CaseTypeShortName>
  </dt_DecisionCase>
  <dt_DecisionJudgePanel>
    <JudgeID>025491861@GOV.IL</JudgeID>
    <DisplayName>רון סולקין</DisplayName>
    <RoleName>שופט</RoleName>
    <UserTitleName>שופט</UserTitleName>
  </dt_DecisionJudgePanel>
  <dt_LegalEntityDetails>
    <Fax>077-3301993</Fax>
    <Phone>08-6271042</Phone>
    <PartyID>2</PartyID>
    <PartyTypeID>2</PartyTypeID>
    <DecisionID>0</DecisionID>
    <StreetName>קרן היסוד 27 דירה 3</StreetName>
    <CityName>באר שבע</CityName>
    <FullName>מאיר סויסה</FullName>
    <Email>meirsadv@gmail.com</Email>
    <IsPublicationProhibited>false</IsPublicationProhibited>
  </dt_LegalEntityDetails>
  <dt_LegalEntityDetails>
    <Fax/>
    <Phone/>
    <AddressDesc/>
    <PartyID>1</PartyID>
    <PartyTypeID>3</PartyTypeID>
    <DecisionID>0</DecisionID>
    <AssistantRoleID>27</AssistantRoleID>
    <StreetName/>
    <CityName/>
    <FullName>חברת הקלטה</FullName>
    <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אעצם</StreetName>
    <CityName>אעצם (שבט)</CityName>
    <FullName>סאלם וקילי</FullName>
    <IsPublicationProhibited>false</IsPublicationProhibited>
  </dt_LegalEntityDetails>
  <dt_LegalEntityDetails>
    <PartyID>1</PartyID>
    <PartyTypeID>4</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רון סולקין</CaseJudicalPerson>
  </dt_CaseJudicalPersonActive>
  <dt_Sitting>
    <FutureSittingDate>2024-11-10T09:45:00+02:00</FutureSittingDate>
    <PreviousMeetingDate>2024-10-27T10:00:00+02:00</PreviousMeetingDate>
    <NextSittingTypeID>12</NextSittingTypeID>
    <PreviousSittingTypeID>12</PreviousSittingTypeID>
    <NextMeetingDisplayName>שופט רון סולקין</NextMeetingDisplayName>
    <NextMeetingRoleName>שופט</NextMeetingRoleName>
    <NextMeetingUserTitleName>שופט</NextMeetingUserTitleName>
    <NextMeetingUserUPN>025491861@GOV.IL</NextMeetingUserUPN>
    <PreviousMeetingDisplayName>שופט רון סולקין</PreviousMeetingDisplayName>
    <PreviousMeetingRoleName>שופט</PreviousMeetingRoleName>
    <PreviousMeetingUserTitleName>שופט</PreviousMeetingUserTitleName>
    <PreviousMeetingUserUPN>025491861@GOV.IL</PreviousMeetingUserUPN>
  </dt_Sitting>
</DecisionTemplateDS>
</file>

<file path=customXml/itemProps1.xml><?xml version="1.0" encoding="utf-8"?>
<ds:datastoreItem xmlns:ds="http://schemas.openxmlformats.org/officeDocument/2006/customXml" ds:itemID="{6008E208-34E3-4555-9D9D-459246A903F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3297</Words>
  <Characters>16485</Characters>
  <Application>Microsoft Office Word</Application>
  <DocSecurity>0</DocSecurity>
  <Lines>137</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2024-11-18T06:49:00Z</dcterms:created>
  <dcterms:modified xsi:type="dcterms:W3CDTF">2024-11-18T06:49:00Z</dcterms:modified>
</cp:coreProperties>
</file>